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FDE3" w14:textId="77777777" w:rsidR="00171C5D" w:rsidRDefault="00171C5D">
      <w:pPr>
        <w:rPr>
          <w:rFonts w:cs="Arial"/>
        </w:rPr>
      </w:pPr>
    </w:p>
    <w:p w14:paraId="63CBCFB2" w14:textId="77777777" w:rsidR="00171C5D" w:rsidRDefault="00000000">
      <w:pPr>
        <w:jc w:val="center"/>
        <w:rPr>
          <w:b/>
          <w:sz w:val="32"/>
          <w:szCs w:val="32"/>
        </w:rPr>
      </w:pPr>
      <w:r>
        <w:rPr>
          <w:b/>
          <w:sz w:val="32"/>
          <w:szCs w:val="32"/>
        </w:rPr>
        <w:t>Expected Resources</w:t>
      </w:r>
    </w:p>
    <w:p w14:paraId="1CEBBE87" w14:textId="77777777" w:rsidR="00171C5D" w:rsidRDefault="00000000">
      <w:pPr>
        <w:pStyle w:val="Heading2"/>
        <w:rPr>
          <w:rFonts w:ascii="Calibri" w:hAnsi="Calibri"/>
          <w:i w:val="0"/>
        </w:rPr>
      </w:pPr>
      <w:r>
        <w:rPr>
          <w:rFonts w:ascii="Calibri" w:hAnsi="Calibri"/>
          <w:i w:val="0"/>
        </w:rPr>
        <w:t>AP-15 Expected Resources – 91.220(c</w:t>
      </w:r>
      <w:proofErr w:type="gramStart"/>
      <w:r>
        <w:rPr>
          <w:rFonts w:ascii="Calibri" w:hAnsi="Calibri"/>
          <w:i w:val="0"/>
        </w:rPr>
        <w:t>)(</w:t>
      </w:r>
      <w:proofErr w:type="gramEnd"/>
      <w:r>
        <w:rPr>
          <w:rFonts w:ascii="Calibri" w:hAnsi="Calibri"/>
          <w:i w:val="0"/>
        </w:rPr>
        <w:t>1,2)</w:t>
      </w:r>
    </w:p>
    <w:p w14:paraId="1AF8F2DF" w14:textId="77777777" w:rsidR="00171C5D" w:rsidRDefault="00000000">
      <w:pPr>
        <w:keepNext/>
        <w:widowControl w:val="0"/>
        <w:spacing w:line="204" w:lineRule="auto"/>
        <w:rPr>
          <w:b/>
          <w:sz w:val="28"/>
          <w:szCs w:val="28"/>
        </w:rPr>
      </w:pPr>
      <w:r>
        <w:rPr>
          <w:b/>
          <w:sz w:val="24"/>
          <w:szCs w:val="24"/>
        </w:rPr>
        <w:t>Introduction</w:t>
      </w:r>
    </w:p>
    <w:p w14:paraId="5B8A26D5" w14:textId="77777777" w:rsidR="00171C5D" w:rsidRDefault="00171C5D">
      <w:pPr>
        <w:spacing w:beforeAutospacing="1" w:afterAutospacing="1"/>
      </w:pPr>
    </w:p>
    <w:p w14:paraId="5E00A0B4" w14:textId="77777777" w:rsidR="00171C5D" w:rsidRDefault="00000000">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864"/>
        <w:gridCol w:w="1574"/>
        <w:gridCol w:w="1608"/>
        <w:gridCol w:w="1220"/>
        <w:gridCol w:w="1118"/>
        <w:gridCol w:w="1608"/>
        <w:gridCol w:w="1608"/>
        <w:gridCol w:w="2127"/>
      </w:tblGrid>
      <w:tr w:rsidR="00171C5D" w14:paraId="206B0E33" w14:textId="77777777">
        <w:trPr>
          <w:cantSplit/>
          <w:tblHeader/>
        </w:trPr>
        <w:tc>
          <w:tcPr>
            <w:tcW w:w="1793" w:type="dxa"/>
            <w:vMerge w:val="restart"/>
          </w:tcPr>
          <w:p w14:paraId="592205BC" w14:textId="77777777" w:rsidR="00171C5D" w:rsidRDefault="00000000">
            <w:pPr>
              <w:keepNext/>
              <w:widowControl w:val="0"/>
              <w:spacing w:after="0" w:line="240" w:lineRule="auto"/>
              <w:jc w:val="center"/>
              <w:rPr>
                <w:b/>
                <w:sz w:val="24"/>
                <w:szCs w:val="24"/>
              </w:rPr>
            </w:pPr>
            <w:r>
              <w:rPr>
                <w:b/>
                <w:sz w:val="20"/>
                <w:szCs w:val="20"/>
              </w:rPr>
              <w:t>Program</w:t>
            </w:r>
          </w:p>
        </w:tc>
        <w:tc>
          <w:tcPr>
            <w:tcW w:w="820" w:type="dxa"/>
            <w:vMerge w:val="restart"/>
          </w:tcPr>
          <w:p w14:paraId="0942F02A" w14:textId="77777777" w:rsidR="00171C5D" w:rsidRDefault="00000000">
            <w:pPr>
              <w:keepNext/>
              <w:widowControl w:val="0"/>
              <w:spacing w:after="0" w:line="240" w:lineRule="auto"/>
              <w:jc w:val="center"/>
              <w:rPr>
                <w:b/>
                <w:sz w:val="24"/>
                <w:szCs w:val="24"/>
              </w:rPr>
            </w:pPr>
            <w:r>
              <w:rPr>
                <w:b/>
                <w:sz w:val="20"/>
                <w:szCs w:val="20"/>
              </w:rPr>
              <w:t>Source of Funds</w:t>
            </w:r>
          </w:p>
        </w:tc>
        <w:tc>
          <w:tcPr>
            <w:tcW w:w="1936" w:type="dxa"/>
            <w:vMerge w:val="restart"/>
          </w:tcPr>
          <w:p w14:paraId="68044031" w14:textId="77777777" w:rsidR="00171C5D" w:rsidRDefault="00000000">
            <w:pPr>
              <w:keepNext/>
              <w:widowControl w:val="0"/>
              <w:spacing w:after="0" w:line="240" w:lineRule="auto"/>
              <w:jc w:val="center"/>
              <w:rPr>
                <w:b/>
                <w:sz w:val="24"/>
                <w:szCs w:val="24"/>
              </w:rPr>
            </w:pPr>
            <w:r>
              <w:rPr>
                <w:b/>
                <w:sz w:val="20"/>
                <w:szCs w:val="20"/>
              </w:rPr>
              <w:t>Uses of Funds</w:t>
            </w:r>
          </w:p>
        </w:tc>
        <w:tc>
          <w:tcPr>
            <w:tcW w:w="4804" w:type="dxa"/>
            <w:gridSpan w:val="4"/>
          </w:tcPr>
          <w:p w14:paraId="061F75D7" w14:textId="77777777" w:rsidR="00171C5D" w:rsidRDefault="00000000">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7FF86B01" w14:textId="77777777" w:rsidR="00171C5D" w:rsidRDefault="00000000">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782E0483" w14:textId="77777777" w:rsidR="00171C5D" w:rsidRDefault="00000000">
            <w:pPr>
              <w:keepNext/>
              <w:widowControl w:val="0"/>
              <w:spacing w:after="0" w:line="240" w:lineRule="auto"/>
              <w:jc w:val="center"/>
              <w:rPr>
                <w:b/>
                <w:sz w:val="24"/>
                <w:szCs w:val="24"/>
              </w:rPr>
            </w:pPr>
            <w:r>
              <w:rPr>
                <w:b/>
                <w:sz w:val="20"/>
                <w:szCs w:val="20"/>
              </w:rPr>
              <w:t>$</w:t>
            </w:r>
          </w:p>
        </w:tc>
        <w:tc>
          <w:tcPr>
            <w:tcW w:w="2448" w:type="dxa"/>
            <w:vMerge w:val="restart"/>
          </w:tcPr>
          <w:p w14:paraId="18701F3C" w14:textId="77777777" w:rsidR="00171C5D" w:rsidRDefault="00000000">
            <w:pPr>
              <w:keepNext/>
              <w:widowControl w:val="0"/>
              <w:spacing w:after="0" w:line="240" w:lineRule="auto"/>
              <w:jc w:val="center"/>
              <w:rPr>
                <w:b/>
                <w:sz w:val="24"/>
                <w:szCs w:val="24"/>
              </w:rPr>
            </w:pPr>
            <w:r>
              <w:rPr>
                <w:b/>
                <w:sz w:val="20"/>
                <w:szCs w:val="20"/>
              </w:rPr>
              <w:t>Narrative Description</w:t>
            </w:r>
          </w:p>
        </w:tc>
      </w:tr>
      <w:tr w:rsidR="00171C5D" w14:paraId="2FEF5B3E" w14:textId="77777777">
        <w:trPr>
          <w:cantSplit/>
          <w:tblHeader/>
        </w:trPr>
        <w:tc>
          <w:tcPr>
            <w:tcW w:w="1793" w:type="dxa"/>
            <w:vMerge/>
          </w:tcPr>
          <w:p w14:paraId="460C865B" w14:textId="77777777" w:rsidR="00171C5D" w:rsidRDefault="00171C5D">
            <w:pPr>
              <w:keepNext/>
              <w:widowControl w:val="0"/>
              <w:spacing w:after="0" w:line="240" w:lineRule="auto"/>
              <w:jc w:val="center"/>
              <w:rPr>
                <w:b/>
                <w:sz w:val="24"/>
                <w:szCs w:val="24"/>
              </w:rPr>
            </w:pPr>
          </w:p>
        </w:tc>
        <w:tc>
          <w:tcPr>
            <w:tcW w:w="820" w:type="dxa"/>
            <w:vMerge/>
          </w:tcPr>
          <w:p w14:paraId="698B2401" w14:textId="77777777" w:rsidR="00171C5D" w:rsidRDefault="00171C5D">
            <w:pPr>
              <w:keepNext/>
              <w:widowControl w:val="0"/>
              <w:spacing w:after="0" w:line="240" w:lineRule="auto"/>
              <w:jc w:val="center"/>
              <w:rPr>
                <w:b/>
                <w:sz w:val="24"/>
                <w:szCs w:val="24"/>
              </w:rPr>
            </w:pPr>
          </w:p>
        </w:tc>
        <w:tc>
          <w:tcPr>
            <w:tcW w:w="1936" w:type="dxa"/>
            <w:vMerge/>
          </w:tcPr>
          <w:p w14:paraId="19F11721" w14:textId="77777777" w:rsidR="00171C5D" w:rsidRDefault="00171C5D">
            <w:pPr>
              <w:keepNext/>
              <w:widowControl w:val="0"/>
              <w:spacing w:after="0" w:line="240" w:lineRule="auto"/>
              <w:jc w:val="center"/>
              <w:rPr>
                <w:b/>
                <w:sz w:val="24"/>
                <w:szCs w:val="24"/>
              </w:rPr>
            </w:pPr>
          </w:p>
        </w:tc>
        <w:tc>
          <w:tcPr>
            <w:tcW w:w="1204" w:type="dxa"/>
          </w:tcPr>
          <w:p w14:paraId="5110FB85" w14:textId="77777777" w:rsidR="00171C5D" w:rsidRDefault="00000000">
            <w:pPr>
              <w:keepNext/>
              <w:widowControl w:val="0"/>
              <w:spacing w:after="0" w:line="240" w:lineRule="auto"/>
              <w:jc w:val="center"/>
              <w:rPr>
                <w:b/>
                <w:sz w:val="24"/>
                <w:szCs w:val="24"/>
              </w:rPr>
            </w:pPr>
            <w:r>
              <w:rPr>
                <w:b/>
                <w:sz w:val="20"/>
                <w:szCs w:val="20"/>
              </w:rPr>
              <w:t>Annual Allocation: $</w:t>
            </w:r>
          </w:p>
        </w:tc>
        <w:tc>
          <w:tcPr>
            <w:tcW w:w="1260" w:type="dxa"/>
          </w:tcPr>
          <w:p w14:paraId="138DEF71" w14:textId="77777777" w:rsidR="00171C5D" w:rsidRDefault="00000000">
            <w:pPr>
              <w:keepNext/>
              <w:widowControl w:val="0"/>
              <w:spacing w:after="0" w:line="240" w:lineRule="auto"/>
              <w:jc w:val="center"/>
              <w:rPr>
                <w:b/>
                <w:sz w:val="24"/>
                <w:szCs w:val="24"/>
              </w:rPr>
            </w:pPr>
            <w:r>
              <w:rPr>
                <w:b/>
                <w:sz w:val="20"/>
                <w:szCs w:val="20"/>
              </w:rPr>
              <w:t>Program Income: $</w:t>
            </w:r>
          </w:p>
        </w:tc>
        <w:tc>
          <w:tcPr>
            <w:tcW w:w="1260" w:type="dxa"/>
          </w:tcPr>
          <w:p w14:paraId="47277886" w14:textId="77777777" w:rsidR="00171C5D" w:rsidRDefault="00000000">
            <w:pPr>
              <w:keepNext/>
              <w:widowControl w:val="0"/>
              <w:spacing w:after="0" w:line="240" w:lineRule="auto"/>
              <w:jc w:val="center"/>
              <w:rPr>
                <w:b/>
                <w:sz w:val="24"/>
                <w:szCs w:val="24"/>
              </w:rPr>
            </w:pPr>
            <w:r>
              <w:rPr>
                <w:b/>
                <w:sz w:val="20"/>
                <w:szCs w:val="20"/>
              </w:rPr>
              <w:t>Prior Year Resources: $</w:t>
            </w:r>
          </w:p>
        </w:tc>
        <w:tc>
          <w:tcPr>
            <w:tcW w:w="1080" w:type="dxa"/>
          </w:tcPr>
          <w:p w14:paraId="5047888B" w14:textId="77777777" w:rsidR="00171C5D" w:rsidRDefault="00000000">
            <w:pPr>
              <w:keepNext/>
              <w:widowControl w:val="0"/>
              <w:spacing w:after="0" w:line="240" w:lineRule="auto"/>
              <w:jc w:val="center"/>
              <w:rPr>
                <w:b/>
                <w:sz w:val="20"/>
                <w:szCs w:val="20"/>
              </w:rPr>
            </w:pPr>
            <w:r>
              <w:rPr>
                <w:b/>
                <w:sz w:val="20"/>
                <w:szCs w:val="20"/>
              </w:rPr>
              <w:t>Total:</w:t>
            </w:r>
          </w:p>
          <w:p w14:paraId="634E0A7F" w14:textId="77777777" w:rsidR="00171C5D" w:rsidRDefault="00000000">
            <w:pPr>
              <w:keepNext/>
              <w:widowControl w:val="0"/>
              <w:spacing w:after="0" w:line="240" w:lineRule="auto"/>
              <w:jc w:val="center"/>
              <w:rPr>
                <w:b/>
                <w:sz w:val="24"/>
                <w:szCs w:val="24"/>
              </w:rPr>
            </w:pPr>
            <w:r>
              <w:rPr>
                <w:b/>
                <w:sz w:val="20"/>
                <w:szCs w:val="20"/>
              </w:rPr>
              <w:t>$</w:t>
            </w:r>
          </w:p>
        </w:tc>
        <w:tc>
          <w:tcPr>
            <w:tcW w:w="1260" w:type="dxa"/>
            <w:vMerge/>
          </w:tcPr>
          <w:p w14:paraId="43F58759" w14:textId="77777777" w:rsidR="00171C5D" w:rsidRDefault="00171C5D">
            <w:pPr>
              <w:keepNext/>
              <w:widowControl w:val="0"/>
              <w:spacing w:after="0" w:line="240" w:lineRule="auto"/>
              <w:jc w:val="center"/>
              <w:rPr>
                <w:b/>
                <w:sz w:val="24"/>
                <w:szCs w:val="24"/>
              </w:rPr>
            </w:pPr>
          </w:p>
        </w:tc>
        <w:tc>
          <w:tcPr>
            <w:tcW w:w="2448" w:type="dxa"/>
            <w:vMerge/>
          </w:tcPr>
          <w:p w14:paraId="3D5639AC" w14:textId="77777777" w:rsidR="00171C5D" w:rsidRDefault="00171C5D">
            <w:pPr>
              <w:keepNext/>
              <w:widowControl w:val="0"/>
              <w:spacing w:after="0" w:line="240" w:lineRule="auto"/>
              <w:jc w:val="center"/>
              <w:rPr>
                <w:b/>
                <w:sz w:val="24"/>
                <w:szCs w:val="24"/>
              </w:rPr>
            </w:pPr>
          </w:p>
        </w:tc>
      </w:tr>
      <w:tr w:rsidR="00171C5D" w14:paraId="0E668D6E" w14:textId="77777777">
        <w:trPr>
          <w:cantSplit/>
        </w:trPr>
        <w:tc>
          <w:tcPr>
            <w:tcW w:w="0" w:type="auto"/>
          </w:tcPr>
          <w:p w14:paraId="0C8C389C" w14:textId="77777777" w:rsidR="00171C5D" w:rsidRDefault="00000000">
            <w:pPr>
              <w:spacing w:beforeAutospacing="1" w:afterAutospacing="1"/>
            </w:pPr>
            <w:r>
              <w:rPr>
                <w:color w:val="000000"/>
              </w:rPr>
              <w:t>CDBG</w:t>
            </w:r>
          </w:p>
        </w:tc>
        <w:tc>
          <w:tcPr>
            <w:tcW w:w="0" w:type="auto"/>
          </w:tcPr>
          <w:p w14:paraId="7A647F67" w14:textId="77777777" w:rsidR="00171C5D" w:rsidRDefault="00000000">
            <w:pPr>
              <w:spacing w:beforeAutospacing="1" w:afterAutospacing="1"/>
            </w:pPr>
            <w:r>
              <w:rPr>
                <w:color w:val="000000"/>
              </w:rPr>
              <w:t>public - federal</w:t>
            </w:r>
          </w:p>
        </w:tc>
        <w:tc>
          <w:tcPr>
            <w:tcW w:w="0" w:type="auto"/>
          </w:tcPr>
          <w:p w14:paraId="7C787E3D" w14:textId="77777777" w:rsidR="00171C5D" w:rsidRDefault="00000000">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14:paraId="358FD2B0" w14:textId="77777777" w:rsidR="00171C5D" w:rsidRDefault="00000000">
            <w:pPr>
              <w:spacing w:beforeAutospacing="1" w:afterAutospacing="1"/>
              <w:jc w:val="right"/>
            </w:pPr>
            <w:r>
              <w:rPr>
                <w:color w:val="000000"/>
              </w:rPr>
              <w:t>20,262,880.00</w:t>
            </w:r>
          </w:p>
        </w:tc>
        <w:tc>
          <w:tcPr>
            <w:tcW w:w="0" w:type="auto"/>
            <w:vAlign w:val="bottom"/>
          </w:tcPr>
          <w:p w14:paraId="69926C66" w14:textId="77777777" w:rsidR="00171C5D" w:rsidRDefault="00000000">
            <w:pPr>
              <w:spacing w:beforeAutospacing="1" w:afterAutospacing="1"/>
              <w:jc w:val="right"/>
            </w:pPr>
            <w:r>
              <w:rPr>
                <w:color w:val="000000"/>
              </w:rPr>
              <w:t>400,000.00</w:t>
            </w:r>
          </w:p>
        </w:tc>
        <w:tc>
          <w:tcPr>
            <w:tcW w:w="0" w:type="auto"/>
            <w:vAlign w:val="bottom"/>
          </w:tcPr>
          <w:p w14:paraId="31556351" w14:textId="77777777" w:rsidR="00171C5D" w:rsidRDefault="00000000">
            <w:pPr>
              <w:spacing w:beforeAutospacing="1" w:afterAutospacing="1"/>
              <w:jc w:val="right"/>
            </w:pPr>
            <w:r>
              <w:rPr>
                <w:color w:val="000000"/>
              </w:rPr>
              <w:t>0.00</w:t>
            </w:r>
          </w:p>
        </w:tc>
        <w:tc>
          <w:tcPr>
            <w:tcW w:w="0" w:type="auto"/>
            <w:vAlign w:val="bottom"/>
          </w:tcPr>
          <w:p w14:paraId="33CFE13C" w14:textId="77777777" w:rsidR="00171C5D" w:rsidRDefault="00000000">
            <w:pPr>
              <w:spacing w:beforeAutospacing="1" w:afterAutospacing="1"/>
              <w:jc w:val="right"/>
            </w:pPr>
            <w:r>
              <w:rPr>
                <w:color w:val="000000"/>
              </w:rPr>
              <w:t>20,662,880.00</w:t>
            </w:r>
          </w:p>
        </w:tc>
        <w:tc>
          <w:tcPr>
            <w:tcW w:w="0" w:type="auto"/>
            <w:vAlign w:val="bottom"/>
          </w:tcPr>
          <w:p w14:paraId="49008739" w14:textId="77777777" w:rsidR="00171C5D" w:rsidRDefault="00000000">
            <w:pPr>
              <w:spacing w:beforeAutospacing="1" w:afterAutospacing="1"/>
              <w:jc w:val="right"/>
            </w:pPr>
            <w:r>
              <w:rPr>
                <w:color w:val="000000"/>
              </w:rPr>
              <w:t>81,851,520.00</w:t>
            </w:r>
          </w:p>
        </w:tc>
        <w:tc>
          <w:tcPr>
            <w:tcW w:w="0" w:type="auto"/>
          </w:tcPr>
          <w:p w14:paraId="34507A09" w14:textId="77777777" w:rsidR="00171C5D" w:rsidRDefault="00000000">
            <w:pPr>
              <w:spacing w:beforeAutospacing="1" w:afterAutospacing="1"/>
            </w:pPr>
            <w:r>
              <w:rPr>
                <w:color w:val="000000"/>
              </w:rPr>
              <w:t xml:space="preserve">Funds will be used for a wide range of housing and social service activities that will benefit low- to moderate-income </w:t>
            </w:r>
            <w:proofErr w:type="gramStart"/>
            <w:r>
              <w:rPr>
                <w:color w:val="000000"/>
              </w:rPr>
              <w:t>persons</w:t>
            </w:r>
            <w:proofErr w:type="gramEnd"/>
            <w:r>
              <w:rPr>
                <w:color w:val="000000"/>
              </w:rPr>
              <w:t xml:space="preserve"> and households, assist in the elimination of slum and blight and support </w:t>
            </w:r>
            <w:proofErr w:type="gramStart"/>
            <w:r>
              <w:rPr>
                <w:color w:val="000000"/>
              </w:rPr>
              <w:t>large scale</w:t>
            </w:r>
            <w:proofErr w:type="gramEnd"/>
            <w:r>
              <w:rPr>
                <w:color w:val="000000"/>
              </w:rPr>
              <w:t xml:space="preserve"> redevelopment efforts to revitalize distressed areas.</w:t>
            </w:r>
          </w:p>
        </w:tc>
      </w:tr>
      <w:tr w:rsidR="00171C5D" w14:paraId="0D8E98D4" w14:textId="77777777">
        <w:trPr>
          <w:cantSplit/>
        </w:trPr>
        <w:tc>
          <w:tcPr>
            <w:tcW w:w="0" w:type="auto"/>
          </w:tcPr>
          <w:p w14:paraId="0F4C667E" w14:textId="77777777" w:rsidR="00171C5D" w:rsidRDefault="00000000">
            <w:pPr>
              <w:spacing w:beforeAutospacing="1" w:afterAutospacing="1"/>
            </w:pPr>
            <w:r>
              <w:rPr>
                <w:color w:val="000000"/>
              </w:rPr>
              <w:lastRenderedPageBreak/>
              <w:t>HOME</w:t>
            </w:r>
          </w:p>
        </w:tc>
        <w:tc>
          <w:tcPr>
            <w:tcW w:w="0" w:type="auto"/>
          </w:tcPr>
          <w:p w14:paraId="0104A5BA" w14:textId="77777777" w:rsidR="00171C5D" w:rsidRDefault="00000000">
            <w:pPr>
              <w:spacing w:beforeAutospacing="1" w:afterAutospacing="1"/>
            </w:pPr>
            <w:r>
              <w:rPr>
                <w:color w:val="000000"/>
              </w:rPr>
              <w:t>public - federal</w:t>
            </w:r>
          </w:p>
        </w:tc>
        <w:tc>
          <w:tcPr>
            <w:tcW w:w="0" w:type="auto"/>
          </w:tcPr>
          <w:p w14:paraId="2A567BA8" w14:textId="77777777" w:rsidR="00171C5D" w:rsidRDefault="00000000">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t>Multifamily rental rehab</w:t>
            </w:r>
            <w:r>
              <w:rPr>
                <w:color w:val="000000"/>
              </w:rPr>
              <w:br/>
              <w:t>New construction for ownership</w:t>
            </w:r>
            <w:r>
              <w:rPr>
                <w:color w:val="000000"/>
              </w:rPr>
              <w:br/>
              <w:t>TBRA</w:t>
            </w:r>
          </w:p>
        </w:tc>
        <w:tc>
          <w:tcPr>
            <w:tcW w:w="0" w:type="auto"/>
            <w:vAlign w:val="bottom"/>
          </w:tcPr>
          <w:p w14:paraId="52D2A084" w14:textId="77777777" w:rsidR="00171C5D" w:rsidRDefault="00000000">
            <w:pPr>
              <w:spacing w:beforeAutospacing="1" w:afterAutospacing="1"/>
              <w:jc w:val="right"/>
            </w:pPr>
            <w:r>
              <w:rPr>
                <w:color w:val="000000"/>
              </w:rPr>
              <w:t>3,866,087.24</w:t>
            </w:r>
          </w:p>
        </w:tc>
        <w:tc>
          <w:tcPr>
            <w:tcW w:w="0" w:type="auto"/>
            <w:vAlign w:val="bottom"/>
          </w:tcPr>
          <w:p w14:paraId="7564CE0A" w14:textId="77777777" w:rsidR="00171C5D" w:rsidRDefault="00000000">
            <w:pPr>
              <w:spacing w:beforeAutospacing="1" w:afterAutospacing="1"/>
              <w:jc w:val="right"/>
            </w:pPr>
            <w:r>
              <w:rPr>
                <w:color w:val="000000"/>
              </w:rPr>
              <w:t>0.00</w:t>
            </w:r>
          </w:p>
        </w:tc>
        <w:tc>
          <w:tcPr>
            <w:tcW w:w="0" w:type="auto"/>
            <w:vAlign w:val="bottom"/>
          </w:tcPr>
          <w:p w14:paraId="37415550" w14:textId="77777777" w:rsidR="00171C5D" w:rsidRDefault="00000000">
            <w:pPr>
              <w:spacing w:beforeAutospacing="1" w:afterAutospacing="1"/>
              <w:jc w:val="right"/>
            </w:pPr>
            <w:r>
              <w:rPr>
                <w:color w:val="000000"/>
              </w:rPr>
              <w:t>0.00</w:t>
            </w:r>
          </w:p>
        </w:tc>
        <w:tc>
          <w:tcPr>
            <w:tcW w:w="0" w:type="auto"/>
            <w:vAlign w:val="bottom"/>
          </w:tcPr>
          <w:p w14:paraId="6072A551" w14:textId="77777777" w:rsidR="00171C5D" w:rsidRDefault="00000000">
            <w:pPr>
              <w:spacing w:beforeAutospacing="1" w:afterAutospacing="1"/>
              <w:jc w:val="right"/>
            </w:pPr>
            <w:r>
              <w:rPr>
                <w:color w:val="000000"/>
              </w:rPr>
              <w:t>3,866,087.24</w:t>
            </w:r>
          </w:p>
        </w:tc>
        <w:tc>
          <w:tcPr>
            <w:tcW w:w="0" w:type="auto"/>
            <w:vAlign w:val="bottom"/>
          </w:tcPr>
          <w:p w14:paraId="293D0AAA" w14:textId="77777777" w:rsidR="00171C5D" w:rsidRDefault="00000000">
            <w:pPr>
              <w:spacing w:beforeAutospacing="1" w:afterAutospacing="1"/>
              <w:jc w:val="right"/>
            </w:pPr>
            <w:r>
              <w:rPr>
                <w:color w:val="000000"/>
              </w:rPr>
              <w:t>15,464,349.00</w:t>
            </w:r>
          </w:p>
        </w:tc>
        <w:tc>
          <w:tcPr>
            <w:tcW w:w="0" w:type="auto"/>
          </w:tcPr>
          <w:p w14:paraId="25CEE75D" w14:textId="77777777" w:rsidR="00171C5D" w:rsidRDefault="00000000">
            <w:pPr>
              <w:spacing w:beforeAutospacing="1" w:afterAutospacing="1"/>
            </w:pPr>
            <w:r>
              <w:rPr>
                <w:color w:val="000000"/>
              </w:rPr>
              <w:t>HOME funds will be used to fund construction and rehabilitation of housing to create affordable rental units for low-income households.</w:t>
            </w:r>
          </w:p>
        </w:tc>
      </w:tr>
      <w:tr w:rsidR="00171C5D" w14:paraId="3135432F" w14:textId="77777777">
        <w:trPr>
          <w:cantSplit/>
        </w:trPr>
        <w:tc>
          <w:tcPr>
            <w:tcW w:w="0" w:type="auto"/>
          </w:tcPr>
          <w:p w14:paraId="3289BFC7" w14:textId="77777777" w:rsidR="00171C5D" w:rsidRDefault="00000000">
            <w:pPr>
              <w:spacing w:beforeAutospacing="1" w:afterAutospacing="1"/>
            </w:pPr>
            <w:r>
              <w:rPr>
                <w:color w:val="000000"/>
              </w:rPr>
              <w:lastRenderedPageBreak/>
              <w:t>HOPWA</w:t>
            </w:r>
          </w:p>
        </w:tc>
        <w:tc>
          <w:tcPr>
            <w:tcW w:w="0" w:type="auto"/>
          </w:tcPr>
          <w:p w14:paraId="698F0910" w14:textId="77777777" w:rsidR="00171C5D" w:rsidRDefault="00000000">
            <w:pPr>
              <w:spacing w:beforeAutospacing="1" w:afterAutospacing="1"/>
            </w:pPr>
            <w:r>
              <w:rPr>
                <w:color w:val="000000"/>
              </w:rPr>
              <w:t>public - federal</w:t>
            </w:r>
          </w:p>
        </w:tc>
        <w:tc>
          <w:tcPr>
            <w:tcW w:w="0" w:type="auto"/>
          </w:tcPr>
          <w:p w14:paraId="2F5B8780" w14:textId="77777777" w:rsidR="00171C5D" w:rsidRDefault="00000000">
            <w:pPr>
              <w:spacing w:beforeAutospacing="1" w:afterAutospacing="1"/>
            </w:pPr>
            <w:r>
              <w:rPr>
                <w:color w:val="000000"/>
              </w:rPr>
              <w:t>Permanent housing in facilities</w:t>
            </w:r>
            <w:r>
              <w:rPr>
                <w:color w:val="000000"/>
              </w:rPr>
              <w:br/>
              <w:t>Permanent housing placement</w:t>
            </w:r>
            <w:r>
              <w:rPr>
                <w:color w:val="000000"/>
              </w:rPr>
              <w:br/>
              <w:t>Short term or transitional housing facilities</w:t>
            </w:r>
            <w:r>
              <w:rPr>
                <w:color w:val="000000"/>
              </w:rPr>
              <w:br/>
              <w:t>STRMU</w:t>
            </w:r>
            <w:r>
              <w:rPr>
                <w:color w:val="000000"/>
              </w:rPr>
              <w:br/>
              <w:t>Supportive services</w:t>
            </w:r>
            <w:r>
              <w:rPr>
                <w:color w:val="000000"/>
              </w:rPr>
              <w:br/>
              <w:t>TBRA</w:t>
            </w:r>
          </w:p>
        </w:tc>
        <w:tc>
          <w:tcPr>
            <w:tcW w:w="0" w:type="auto"/>
            <w:vAlign w:val="bottom"/>
          </w:tcPr>
          <w:p w14:paraId="656A076C" w14:textId="77777777" w:rsidR="00171C5D" w:rsidRDefault="00000000">
            <w:pPr>
              <w:spacing w:beforeAutospacing="1" w:afterAutospacing="1"/>
              <w:jc w:val="right"/>
            </w:pPr>
            <w:r>
              <w:rPr>
                <w:color w:val="000000"/>
              </w:rPr>
              <w:t>7,065,934.00</w:t>
            </w:r>
          </w:p>
        </w:tc>
        <w:tc>
          <w:tcPr>
            <w:tcW w:w="0" w:type="auto"/>
            <w:vAlign w:val="bottom"/>
          </w:tcPr>
          <w:p w14:paraId="2FABB6D7" w14:textId="77777777" w:rsidR="00171C5D" w:rsidRDefault="00000000">
            <w:pPr>
              <w:spacing w:beforeAutospacing="1" w:afterAutospacing="1"/>
              <w:jc w:val="right"/>
            </w:pPr>
            <w:r>
              <w:rPr>
                <w:color w:val="000000"/>
              </w:rPr>
              <w:t>0.00</w:t>
            </w:r>
          </w:p>
        </w:tc>
        <w:tc>
          <w:tcPr>
            <w:tcW w:w="0" w:type="auto"/>
            <w:vAlign w:val="bottom"/>
          </w:tcPr>
          <w:p w14:paraId="69923291" w14:textId="77777777" w:rsidR="00171C5D" w:rsidRDefault="00000000">
            <w:pPr>
              <w:spacing w:beforeAutospacing="1" w:afterAutospacing="1"/>
              <w:jc w:val="right"/>
            </w:pPr>
            <w:r>
              <w:rPr>
                <w:color w:val="000000"/>
              </w:rPr>
              <w:t>0.00</w:t>
            </w:r>
          </w:p>
        </w:tc>
        <w:tc>
          <w:tcPr>
            <w:tcW w:w="0" w:type="auto"/>
            <w:vAlign w:val="bottom"/>
          </w:tcPr>
          <w:p w14:paraId="28AAC410" w14:textId="77777777" w:rsidR="00171C5D" w:rsidRDefault="00000000">
            <w:pPr>
              <w:spacing w:beforeAutospacing="1" w:afterAutospacing="1"/>
              <w:jc w:val="right"/>
            </w:pPr>
            <w:r>
              <w:rPr>
                <w:color w:val="000000"/>
              </w:rPr>
              <w:t>7,065,934.00</w:t>
            </w:r>
          </w:p>
        </w:tc>
        <w:tc>
          <w:tcPr>
            <w:tcW w:w="0" w:type="auto"/>
            <w:vAlign w:val="bottom"/>
          </w:tcPr>
          <w:p w14:paraId="3A30560E" w14:textId="77777777" w:rsidR="00171C5D" w:rsidRDefault="00000000">
            <w:pPr>
              <w:spacing w:beforeAutospacing="1" w:afterAutospacing="1"/>
              <w:jc w:val="right"/>
            </w:pPr>
            <w:r>
              <w:rPr>
                <w:color w:val="000000"/>
              </w:rPr>
              <w:t>28,263,736.00</w:t>
            </w:r>
          </w:p>
        </w:tc>
        <w:tc>
          <w:tcPr>
            <w:tcW w:w="0" w:type="auto"/>
          </w:tcPr>
          <w:p w14:paraId="6B62326C" w14:textId="77777777" w:rsidR="00171C5D" w:rsidRDefault="00000000">
            <w:pPr>
              <w:spacing w:beforeAutospacing="1" w:afterAutospacing="1"/>
            </w:pPr>
            <w:r>
              <w:rPr>
                <w:color w:val="000000"/>
              </w:rPr>
              <w:t>The HOPWA program funds services specifically for persons with HIV/AIDS, including Tenant Based Rental Assistance, short term rent, The HOPWA program funds services specifically for persons with HIV/AIDS, including Tenant Based Rental Assistance, short term rent, mortgage, and utility assistance, counseling, information and referral, supportive services relating to health, mental health, permanent housing, drug and alcohol abuse treatment and counseling, day care, nutrition, job training and assistance in accessing other benefits and services.</w:t>
            </w:r>
          </w:p>
        </w:tc>
      </w:tr>
      <w:tr w:rsidR="00171C5D" w14:paraId="2DB07745" w14:textId="77777777">
        <w:trPr>
          <w:cantSplit/>
        </w:trPr>
        <w:tc>
          <w:tcPr>
            <w:tcW w:w="0" w:type="auto"/>
          </w:tcPr>
          <w:p w14:paraId="635F35EB" w14:textId="77777777" w:rsidR="00171C5D" w:rsidRDefault="00000000">
            <w:pPr>
              <w:spacing w:beforeAutospacing="1" w:afterAutospacing="1"/>
            </w:pPr>
            <w:r>
              <w:rPr>
                <w:color w:val="000000"/>
              </w:rPr>
              <w:lastRenderedPageBreak/>
              <w:t>ESG</w:t>
            </w:r>
          </w:p>
        </w:tc>
        <w:tc>
          <w:tcPr>
            <w:tcW w:w="0" w:type="auto"/>
          </w:tcPr>
          <w:p w14:paraId="56A45C06" w14:textId="77777777" w:rsidR="00171C5D" w:rsidRDefault="00000000">
            <w:pPr>
              <w:spacing w:beforeAutospacing="1" w:afterAutospacing="1"/>
            </w:pPr>
            <w:r>
              <w:rPr>
                <w:color w:val="000000"/>
              </w:rPr>
              <w:t>public - federal</w:t>
            </w:r>
          </w:p>
        </w:tc>
        <w:tc>
          <w:tcPr>
            <w:tcW w:w="0" w:type="auto"/>
          </w:tcPr>
          <w:p w14:paraId="7A6B4258" w14:textId="77777777" w:rsidR="00171C5D" w:rsidRDefault="00000000">
            <w:pPr>
              <w:spacing w:beforeAutospacing="1" w:afterAutospacing="1"/>
            </w:pPr>
            <w:r>
              <w:rPr>
                <w:color w:val="000000"/>
              </w:rPr>
              <w:t>Conversion and rehab for transitional housing</w:t>
            </w:r>
            <w:r>
              <w:rPr>
                <w:color w:val="000000"/>
              </w:rPr>
              <w:br/>
              <w:t>Financial Assistance</w:t>
            </w:r>
            <w:r>
              <w:rPr>
                <w:color w:val="000000"/>
              </w:rPr>
              <w:br/>
              <w:t>Overnight shelter</w:t>
            </w:r>
            <w:r>
              <w:rPr>
                <w:color w:val="000000"/>
              </w:rPr>
              <w:br/>
              <w:t>Rapid re-housing (rental assistance)</w:t>
            </w:r>
            <w:r>
              <w:rPr>
                <w:color w:val="000000"/>
              </w:rPr>
              <w:br/>
              <w:t>Rental Assistance</w:t>
            </w:r>
            <w:r>
              <w:rPr>
                <w:color w:val="000000"/>
              </w:rPr>
              <w:br/>
              <w:t>Services</w:t>
            </w:r>
            <w:r>
              <w:rPr>
                <w:color w:val="000000"/>
              </w:rPr>
              <w:br/>
              <w:t>Transitional housing</w:t>
            </w:r>
          </w:p>
        </w:tc>
        <w:tc>
          <w:tcPr>
            <w:tcW w:w="0" w:type="auto"/>
            <w:vAlign w:val="bottom"/>
          </w:tcPr>
          <w:p w14:paraId="7FDD26F2" w14:textId="77777777" w:rsidR="00171C5D" w:rsidRDefault="00000000">
            <w:pPr>
              <w:spacing w:beforeAutospacing="1" w:afterAutospacing="1"/>
              <w:jc w:val="right"/>
            </w:pPr>
            <w:r>
              <w:rPr>
                <w:color w:val="000000"/>
              </w:rPr>
              <w:t>1,824,257.00</w:t>
            </w:r>
          </w:p>
        </w:tc>
        <w:tc>
          <w:tcPr>
            <w:tcW w:w="0" w:type="auto"/>
            <w:vAlign w:val="bottom"/>
          </w:tcPr>
          <w:p w14:paraId="622C1137" w14:textId="77777777" w:rsidR="00171C5D" w:rsidRDefault="00000000">
            <w:pPr>
              <w:spacing w:beforeAutospacing="1" w:afterAutospacing="1"/>
              <w:jc w:val="right"/>
            </w:pPr>
            <w:r>
              <w:rPr>
                <w:color w:val="000000"/>
              </w:rPr>
              <w:t>0.00</w:t>
            </w:r>
          </w:p>
        </w:tc>
        <w:tc>
          <w:tcPr>
            <w:tcW w:w="0" w:type="auto"/>
            <w:vAlign w:val="bottom"/>
          </w:tcPr>
          <w:p w14:paraId="4F9D5C32" w14:textId="77777777" w:rsidR="00171C5D" w:rsidRDefault="00000000">
            <w:pPr>
              <w:spacing w:beforeAutospacing="1" w:afterAutospacing="1"/>
              <w:jc w:val="right"/>
            </w:pPr>
            <w:r>
              <w:rPr>
                <w:color w:val="000000"/>
              </w:rPr>
              <w:t>0.00</w:t>
            </w:r>
          </w:p>
        </w:tc>
        <w:tc>
          <w:tcPr>
            <w:tcW w:w="0" w:type="auto"/>
            <w:vAlign w:val="bottom"/>
          </w:tcPr>
          <w:p w14:paraId="62E6D59C" w14:textId="77777777" w:rsidR="00171C5D" w:rsidRDefault="00000000">
            <w:pPr>
              <w:spacing w:beforeAutospacing="1" w:afterAutospacing="1"/>
              <w:jc w:val="right"/>
            </w:pPr>
            <w:r>
              <w:rPr>
                <w:color w:val="000000"/>
              </w:rPr>
              <w:t>1,824,257.00</w:t>
            </w:r>
          </w:p>
        </w:tc>
        <w:tc>
          <w:tcPr>
            <w:tcW w:w="0" w:type="auto"/>
            <w:vAlign w:val="bottom"/>
          </w:tcPr>
          <w:p w14:paraId="4C9DADA5" w14:textId="77777777" w:rsidR="00171C5D" w:rsidRDefault="00000000">
            <w:pPr>
              <w:spacing w:beforeAutospacing="1" w:afterAutospacing="1"/>
              <w:jc w:val="right"/>
            </w:pPr>
            <w:r>
              <w:rPr>
                <w:color w:val="000000"/>
              </w:rPr>
              <w:t>7,297,028.00</w:t>
            </w:r>
          </w:p>
        </w:tc>
        <w:tc>
          <w:tcPr>
            <w:tcW w:w="0" w:type="auto"/>
          </w:tcPr>
          <w:p w14:paraId="581B62F7" w14:textId="77777777" w:rsidR="00171C5D" w:rsidRDefault="00000000">
            <w:pPr>
              <w:spacing w:beforeAutospacing="1" w:afterAutospacing="1"/>
            </w:pPr>
            <w:r>
              <w:rPr>
                <w:color w:val="000000"/>
              </w:rPr>
              <w:t xml:space="preserve">The Emergency Solutions Grant program will fund day resource centers, respite care, operation of emergency shelters and transitional housing facilities, services provided within the shelters, rapid re-housing for up to twenty-four months </w:t>
            </w:r>
            <w:proofErr w:type="gramStart"/>
            <w:r>
              <w:rPr>
                <w:color w:val="000000"/>
              </w:rPr>
              <w:t>to</w:t>
            </w:r>
            <w:proofErr w:type="gramEnd"/>
            <w:r>
              <w:rPr>
                <w:color w:val="000000"/>
              </w:rPr>
              <w:t xml:space="preserve"> homeless </w:t>
            </w:r>
            <w:proofErr w:type="gramStart"/>
            <w:r>
              <w:rPr>
                <w:color w:val="000000"/>
              </w:rPr>
              <w:t>persons</w:t>
            </w:r>
            <w:proofErr w:type="gramEnd"/>
            <w:r>
              <w:rPr>
                <w:color w:val="000000"/>
              </w:rPr>
              <w:t xml:space="preserve"> and families, and homelessness prevention activities for individuals and families at risk of homelessness.</w:t>
            </w:r>
          </w:p>
        </w:tc>
      </w:tr>
      <w:tr w:rsidR="00171C5D" w14:paraId="2A6B2AD3" w14:textId="77777777">
        <w:trPr>
          <w:cantSplit/>
        </w:trPr>
        <w:tc>
          <w:tcPr>
            <w:tcW w:w="0" w:type="auto"/>
          </w:tcPr>
          <w:p w14:paraId="65DC6E3A" w14:textId="77777777" w:rsidR="00171C5D" w:rsidRDefault="00000000">
            <w:pPr>
              <w:spacing w:beforeAutospacing="1" w:afterAutospacing="1"/>
            </w:pPr>
            <w:r>
              <w:rPr>
                <w:color w:val="000000"/>
              </w:rPr>
              <w:lastRenderedPageBreak/>
              <w:t>Continuum of Care</w:t>
            </w:r>
          </w:p>
        </w:tc>
        <w:tc>
          <w:tcPr>
            <w:tcW w:w="0" w:type="auto"/>
          </w:tcPr>
          <w:p w14:paraId="547D90F1" w14:textId="77777777" w:rsidR="00171C5D" w:rsidRDefault="00000000">
            <w:pPr>
              <w:spacing w:beforeAutospacing="1" w:afterAutospacing="1"/>
            </w:pPr>
            <w:r>
              <w:rPr>
                <w:color w:val="000000"/>
              </w:rPr>
              <w:t>public - local</w:t>
            </w:r>
          </w:p>
        </w:tc>
        <w:tc>
          <w:tcPr>
            <w:tcW w:w="0" w:type="auto"/>
          </w:tcPr>
          <w:p w14:paraId="702E60A3" w14:textId="77777777" w:rsidR="00171C5D" w:rsidRDefault="00000000">
            <w:pPr>
              <w:spacing w:beforeAutospacing="1" w:afterAutospacing="1"/>
            </w:pPr>
            <w:r>
              <w:rPr>
                <w:color w:val="000000"/>
              </w:rPr>
              <w:t>Admin and Planning</w:t>
            </w:r>
            <w:r>
              <w:rPr>
                <w:color w:val="000000"/>
              </w:rPr>
              <w:br/>
              <w:t>Conversion and rehab for transitional housing</w:t>
            </w:r>
            <w:r>
              <w:rPr>
                <w:color w:val="000000"/>
              </w:rPr>
              <w:br/>
              <w:t>Financial Assistance</w:t>
            </w:r>
            <w:r>
              <w:rPr>
                <w:color w:val="000000"/>
              </w:rPr>
              <w:br/>
              <w:t>Housing</w:t>
            </w:r>
            <w:r>
              <w:rPr>
                <w:color w:val="000000"/>
              </w:rPr>
              <w:br/>
              <w:t>Overnight shelter</w:t>
            </w:r>
            <w:r>
              <w:rPr>
                <w:color w:val="000000"/>
              </w:rPr>
              <w:br/>
              <w:t>Permanent housing in facilities</w:t>
            </w:r>
            <w:r>
              <w:rPr>
                <w:color w:val="000000"/>
              </w:rPr>
              <w:br/>
              <w:t>Permanent housing placement</w:t>
            </w:r>
            <w:r>
              <w:rPr>
                <w:color w:val="000000"/>
              </w:rPr>
              <w:br/>
              <w:t>Public Services</w:t>
            </w:r>
            <w:r>
              <w:rPr>
                <w:color w:val="000000"/>
              </w:rPr>
              <w:br/>
              <w:t>Rapid re-housing (rental assistance)</w:t>
            </w:r>
            <w:r>
              <w:rPr>
                <w:color w:val="000000"/>
              </w:rPr>
              <w:br/>
              <w:t>Rental Assistance</w:t>
            </w:r>
            <w:r>
              <w:rPr>
                <w:color w:val="000000"/>
              </w:rPr>
              <w:br/>
              <w:t>Services</w:t>
            </w:r>
            <w:r>
              <w:rPr>
                <w:color w:val="000000"/>
              </w:rPr>
              <w:br/>
              <w:t>Short term or transitional housing facilities</w:t>
            </w:r>
            <w:r>
              <w:rPr>
                <w:color w:val="000000"/>
              </w:rPr>
              <w:br/>
              <w:t>STRMU</w:t>
            </w:r>
            <w:r>
              <w:rPr>
                <w:color w:val="000000"/>
              </w:rPr>
              <w:br/>
              <w:t>Supportive services</w:t>
            </w:r>
            <w:r>
              <w:rPr>
                <w:color w:val="000000"/>
              </w:rPr>
              <w:br/>
              <w:t>TBRA</w:t>
            </w:r>
            <w:r>
              <w:rPr>
                <w:color w:val="000000"/>
              </w:rPr>
              <w:br/>
              <w:t>Transitional housing</w:t>
            </w:r>
          </w:p>
        </w:tc>
        <w:tc>
          <w:tcPr>
            <w:tcW w:w="0" w:type="auto"/>
            <w:vAlign w:val="bottom"/>
          </w:tcPr>
          <w:p w14:paraId="3E3E4D6B" w14:textId="77777777" w:rsidR="00171C5D" w:rsidRDefault="00000000">
            <w:pPr>
              <w:spacing w:beforeAutospacing="1" w:afterAutospacing="1"/>
              <w:jc w:val="right"/>
            </w:pPr>
            <w:r>
              <w:rPr>
                <w:color w:val="000000"/>
              </w:rPr>
              <w:t>33,195,365.00</w:t>
            </w:r>
          </w:p>
        </w:tc>
        <w:tc>
          <w:tcPr>
            <w:tcW w:w="0" w:type="auto"/>
            <w:vAlign w:val="bottom"/>
          </w:tcPr>
          <w:p w14:paraId="772CD39D" w14:textId="77777777" w:rsidR="00171C5D" w:rsidRDefault="00000000">
            <w:pPr>
              <w:spacing w:beforeAutospacing="1" w:afterAutospacing="1"/>
              <w:jc w:val="right"/>
            </w:pPr>
            <w:r>
              <w:rPr>
                <w:color w:val="000000"/>
              </w:rPr>
              <w:t>0.00</w:t>
            </w:r>
          </w:p>
        </w:tc>
        <w:tc>
          <w:tcPr>
            <w:tcW w:w="0" w:type="auto"/>
            <w:vAlign w:val="bottom"/>
          </w:tcPr>
          <w:p w14:paraId="0DBF34C2" w14:textId="77777777" w:rsidR="00171C5D" w:rsidRDefault="00000000">
            <w:pPr>
              <w:spacing w:beforeAutospacing="1" w:afterAutospacing="1"/>
              <w:jc w:val="right"/>
            </w:pPr>
            <w:r>
              <w:rPr>
                <w:color w:val="000000"/>
              </w:rPr>
              <w:t>0.00</w:t>
            </w:r>
          </w:p>
        </w:tc>
        <w:tc>
          <w:tcPr>
            <w:tcW w:w="0" w:type="auto"/>
            <w:vAlign w:val="bottom"/>
          </w:tcPr>
          <w:p w14:paraId="7B57C0BA" w14:textId="77777777" w:rsidR="00171C5D" w:rsidRDefault="00000000">
            <w:pPr>
              <w:spacing w:beforeAutospacing="1" w:afterAutospacing="1"/>
              <w:jc w:val="right"/>
            </w:pPr>
            <w:r>
              <w:rPr>
                <w:color w:val="000000"/>
              </w:rPr>
              <w:t>33,195,365.00</w:t>
            </w:r>
          </w:p>
        </w:tc>
        <w:tc>
          <w:tcPr>
            <w:tcW w:w="0" w:type="auto"/>
            <w:vAlign w:val="bottom"/>
          </w:tcPr>
          <w:p w14:paraId="70899FFF" w14:textId="77777777" w:rsidR="00171C5D" w:rsidRDefault="00000000">
            <w:pPr>
              <w:spacing w:beforeAutospacing="1" w:afterAutospacing="1"/>
              <w:jc w:val="right"/>
            </w:pPr>
            <w:r>
              <w:rPr>
                <w:color w:val="000000"/>
              </w:rPr>
              <w:t>132,781,460.00</w:t>
            </w:r>
          </w:p>
        </w:tc>
        <w:tc>
          <w:tcPr>
            <w:tcW w:w="0" w:type="auto"/>
          </w:tcPr>
          <w:p w14:paraId="6ACBE05C" w14:textId="77777777" w:rsidR="00171C5D" w:rsidRDefault="00000000">
            <w:pPr>
              <w:spacing w:beforeAutospacing="1" w:afterAutospacing="1"/>
            </w:pPr>
            <w:r>
              <w:rPr>
                <w:color w:val="000000"/>
              </w:rPr>
              <w:t xml:space="preserve">Funds raised by the Continuum of Care </w:t>
            </w:r>
            <w:proofErr w:type="gramStart"/>
            <w:r>
              <w:rPr>
                <w:color w:val="000000"/>
              </w:rPr>
              <w:t>to</w:t>
            </w:r>
            <w:proofErr w:type="gramEnd"/>
            <w:r>
              <w:rPr>
                <w:color w:val="000000"/>
              </w:rPr>
              <w:t xml:space="preserve"> be used to prevent and address homelessness.</w:t>
            </w:r>
          </w:p>
        </w:tc>
      </w:tr>
      <w:tr w:rsidR="00171C5D" w14:paraId="42BD6C2E" w14:textId="77777777">
        <w:trPr>
          <w:cantSplit/>
        </w:trPr>
        <w:tc>
          <w:tcPr>
            <w:tcW w:w="0" w:type="auto"/>
          </w:tcPr>
          <w:p w14:paraId="6C56AECD" w14:textId="77777777" w:rsidR="00171C5D" w:rsidRDefault="00000000">
            <w:pPr>
              <w:spacing w:beforeAutospacing="1" w:afterAutospacing="1"/>
            </w:pPr>
            <w:r>
              <w:rPr>
                <w:color w:val="000000"/>
              </w:rPr>
              <w:lastRenderedPageBreak/>
              <w:t>LIHTC</w:t>
            </w:r>
          </w:p>
        </w:tc>
        <w:tc>
          <w:tcPr>
            <w:tcW w:w="0" w:type="auto"/>
          </w:tcPr>
          <w:p w14:paraId="547CD99F" w14:textId="77777777" w:rsidR="00171C5D" w:rsidRDefault="00000000">
            <w:pPr>
              <w:spacing w:beforeAutospacing="1" w:afterAutospacing="1"/>
            </w:pPr>
            <w:r>
              <w:rPr>
                <w:color w:val="000000"/>
              </w:rPr>
              <w:t>public - state</w:t>
            </w:r>
          </w:p>
        </w:tc>
        <w:tc>
          <w:tcPr>
            <w:tcW w:w="0" w:type="auto"/>
          </w:tcPr>
          <w:p w14:paraId="54B57902" w14:textId="77777777" w:rsidR="00171C5D" w:rsidRDefault="00000000">
            <w:pPr>
              <w:spacing w:beforeAutospacing="1" w:afterAutospacing="1"/>
            </w:pPr>
            <w:r>
              <w:rPr>
                <w:color w:val="000000"/>
              </w:rPr>
              <w:t>Housing</w:t>
            </w:r>
            <w:r>
              <w:rPr>
                <w:color w:val="000000"/>
              </w:rPr>
              <w:br/>
              <w:t>Multifamily rental new construction</w:t>
            </w:r>
            <w:r>
              <w:rPr>
                <w:color w:val="000000"/>
              </w:rPr>
              <w:br/>
              <w:t>Multifamily rental rehab</w:t>
            </w:r>
          </w:p>
        </w:tc>
        <w:tc>
          <w:tcPr>
            <w:tcW w:w="0" w:type="auto"/>
            <w:vAlign w:val="bottom"/>
          </w:tcPr>
          <w:p w14:paraId="50F0302C" w14:textId="77777777" w:rsidR="00171C5D" w:rsidRDefault="00000000">
            <w:pPr>
              <w:spacing w:beforeAutospacing="1" w:afterAutospacing="1"/>
              <w:jc w:val="right"/>
            </w:pPr>
            <w:r>
              <w:rPr>
                <w:color w:val="000000"/>
              </w:rPr>
              <w:t>59,854,633.00</w:t>
            </w:r>
          </w:p>
        </w:tc>
        <w:tc>
          <w:tcPr>
            <w:tcW w:w="0" w:type="auto"/>
            <w:vAlign w:val="bottom"/>
          </w:tcPr>
          <w:p w14:paraId="2974D7C9" w14:textId="77777777" w:rsidR="00171C5D" w:rsidRDefault="00000000">
            <w:pPr>
              <w:spacing w:beforeAutospacing="1" w:afterAutospacing="1"/>
              <w:jc w:val="right"/>
            </w:pPr>
            <w:r>
              <w:rPr>
                <w:color w:val="000000"/>
              </w:rPr>
              <w:t>0.00</w:t>
            </w:r>
          </w:p>
        </w:tc>
        <w:tc>
          <w:tcPr>
            <w:tcW w:w="0" w:type="auto"/>
            <w:vAlign w:val="bottom"/>
          </w:tcPr>
          <w:p w14:paraId="0286FEA8" w14:textId="77777777" w:rsidR="00171C5D" w:rsidRDefault="00000000">
            <w:pPr>
              <w:spacing w:beforeAutospacing="1" w:afterAutospacing="1"/>
              <w:jc w:val="right"/>
            </w:pPr>
            <w:r>
              <w:rPr>
                <w:color w:val="000000"/>
              </w:rPr>
              <w:t>0.00</w:t>
            </w:r>
          </w:p>
        </w:tc>
        <w:tc>
          <w:tcPr>
            <w:tcW w:w="0" w:type="auto"/>
            <w:vAlign w:val="bottom"/>
          </w:tcPr>
          <w:p w14:paraId="0FE43532" w14:textId="77777777" w:rsidR="00171C5D" w:rsidRDefault="00000000">
            <w:pPr>
              <w:spacing w:beforeAutospacing="1" w:afterAutospacing="1"/>
              <w:jc w:val="right"/>
            </w:pPr>
            <w:r>
              <w:rPr>
                <w:color w:val="000000"/>
              </w:rPr>
              <w:t>59,854,633.00</w:t>
            </w:r>
          </w:p>
        </w:tc>
        <w:tc>
          <w:tcPr>
            <w:tcW w:w="0" w:type="auto"/>
            <w:vAlign w:val="bottom"/>
          </w:tcPr>
          <w:p w14:paraId="40D9818E" w14:textId="77777777" w:rsidR="00171C5D" w:rsidRDefault="00000000">
            <w:pPr>
              <w:spacing w:beforeAutospacing="1" w:afterAutospacing="1"/>
              <w:jc w:val="right"/>
            </w:pPr>
            <w:r>
              <w:rPr>
                <w:color w:val="000000"/>
              </w:rPr>
              <w:t>239,418,532.00</w:t>
            </w:r>
          </w:p>
        </w:tc>
        <w:tc>
          <w:tcPr>
            <w:tcW w:w="0" w:type="auto"/>
          </w:tcPr>
          <w:p w14:paraId="734BEC84" w14:textId="77777777" w:rsidR="00171C5D" w:rsidRDefault="00000000">
            <w:pPr>
              <w:spacing w:beforeAutospacing="1" w:afterAutospacing="1"/>
            </w:pPr>
            <w:r>
              <w:rPr>
                <w:color w:val="000000"/>
              </w:rPr>
              <w:t>Low Income Housing Tax Credit funds collected by the state of MD to be used in support of additional affordable housing.</w:t>
            </w:r>
          </w:p>
        </w:tc>
      </w:tr>
      <w:tr w:rsidR="00171C5D" w14:paraId="70FD40E7" w14:textId="77777777">
        <w:trPr>
          <w:cantSplit/>
        </w:trPr>
        <w:tc>
          <w:tcPr>
            <w:tcW w:w="0" w:type="auto"/>
          </w:tcPr>
          <w:p w14:paraId="77EBEDA9" w14:textId="77777777" w:rsidR="00171C5D" w:rsidRDefault="00000000">
            <w:pPr>
              <w:spacing w:beforeAutospacing="1" w:afterAutospacing="1"/>
            </w:pPr>
            <w:r>
              <w:rPr>
                <w:color w:val="000000"/>
              </w:rPr>
              <w:lastRenderedPageBreak/>
              <w:t>Other</w:t>
            </w:r>
          </w:p>
        </w:tc>
        <w:tc>
          <w:tcPr>
            <w:tcW w:w="0" w:type="auto"/>
          </w:tcPr>
          <w:p w14:paraId="31095B24" w14:textId="77777777" w:rsidR="00171C5D" w:rsidRDefault="00000000">
            <w:pPr>
              <w:spacing w:beforeAutospacing="1" w:afterAutospacing="1"/>
            </w:pPr>
            <w:r>
              <w:rPr>
                <w:color w:val="000000"/>
              </w:rPr>
              <w:t>private</w:t>
            </w:r>
          </w:p>
        </w:tc>
        <w:tc>
          <w:tcPr>
            <w:tcW w:w="0" w:type="auto"/>
          </w:tcPr>
          <w:p w14:paraId="4EFA3989" w14:textId="77777777" w:rsidR="00171C5D" w:rsidRDefault="00000000">
            <w:pPr>
              <w:spacing w:beforeAutospacing="1" w:afterAutospacing="1"/>
            </w:pPr>
            <w:r>
              <w:rPr>
                <w:color w:val="000000"/>
              </w:rPr>
              <w:t>Acquisition</w:t>
            </w:r>
            <w:r>
              <w:rPr>
                <w:color w:val="000000"/>
              </w:rPr>
              <w:br/>
              <w:t>Economic Development</w:t>
            </w:r>
            <w:r>
              <w:rPr>
                <w:color w:val="000000"/>
              </w:rPr>
              <w:br/>
              <w:t>Financial Assistance</w:t>
            </w:r>
            <w:r>
              <w:rPr>
                <w:color w:val="000000"/>
              </w:rPr>
              <w:br/>
              <w:t>Homebuyer assistance</w:t>
            </w:r>
            <w:r>
              <w:rPr>
                <w:color w:val="000000"/>
              </w:rPr>
              <w:br/>
              <w:t>Homeowner rehab</w:t>
            </w:r>
            <w:r>
              <w:rPr>
                <w:color w:val="000000"/>
              </w:rPr>
              <w:br/>
              <w:t>Housing</w:t>
            </w:r>
            <w:r>
              <w:rPr>
                <w:color w:val="000000"/>
              </w:rPr>
              <w:br/>
              <w:t>Multifamily rental new construction</w:t>
            </w:r>
            <w:r>
              <w:rPr>
                <w:color w:val="000000"/>
              </w:rPr>
              <w:br/>
              <w:t>Multifamily rental rehab</w:t>
            </w:r>
            <w:r>
              <w:rPr>
                <w:color w:val="000000"/>
              </w:rPr>
              <w:br/>
              <w:t>New construction for ownership</w:t>
            </w:r>
            <w:r>
              <w:rPr>
                <w:color w:val="000000"/>
              </w:rPr>
              <w:br/>
              <w:t>Overnight shelter</w:t>
            </w:r>
            <w:r>
              <w:rPr>
                <w:color w:val="000000"/>
              </w:rPr>
              <w:br/>
              <w:t>Public Improvements</w:t>
            </w:r>
            <w:r>
              <w:rPr>
                <w:color w:val="000000"/>
              </w:rPr>
              <w:br/>
              <w:t>Public Services</w:t>
            </w:r>
            <w:r>
              <w:rPr>
                <w:color w:val="000000"/>
              </w:rPr>
              <w:br/>
              <w:t>Rapid re-housing (rental assistance)</w:t>
            </w:r>
            <w:r>
              <w:rPr>
                <w:color w:val="000000"/>
              </w:rPr>
              <w:br/>
              <w:t>Rental Assistance</w:t>
            </w:r>
            <w:r>
              <w:rPr>
                <w:color w:val="000000"/>
              </w:rPr>
              <w:br/>
              <w:t>Services</w:t>
            </w:r>
            <w:r>
              <w:rPr>
                <w:color w:val="000000"/>
              </w:rPr>
              <w:br/>
              <w:t>Short term or transitional housing facilities</w:t>
            </w:r>
            <w:r>
              <w:rPr>
                <w:color w:val="000000"/>
              </w:rPr>
              <w:br/>
              <w:t>Supportive services</w:t>
            </w:r>
            <w:r>
              <w:rPr>
                <w:color w:val="000000"/>
              </w:rPr>
              <w:br/>
              <w:t>Transitional housing</w:t>
            </w:r>
          </w:p>
        </w:tc>
        <w:tc>
          <w:tcPr>
            <w:tcW w:w="0" w:type="auto"/>
            <w:vAlign w:val="bottom"/>
          </w:tcPr>
          <w:p w14:paraId="707E2538" w14:textId="77777777" w:rsidR="00171C5D" w:rsidRDefault="00000000">
            <w:pPr>
              <w:spacing w:beforeAutospacing="1" w:afterAutospacing="1"/>
              <w:jc w:val="right"/>
            </w:pPr>
            <w:r>
              <w:rPr>
                <w:color w:val="000000"/>
              </w:rPr>
              <w:t>69,111,699.00</w:t>
            </w:r>
          </w:p>
        </w:tc>
        <w:tc>
          <w:tcPr>
            <w:tcW w:w="0" w:type="auto"/>
            <w:vAlign w:val="bottom"/>
          </w:tcPr>
          <w:p w14:paraId="3266B720" w14:textId="77777777" w:rsidR="00171C5D" w:rsidRDefault="00000000">
            <w:pPr>
              <w:spacing w:beforeAutospacing="1" w:afterAutospacing="1"/>
              <w:jc w:val="right"/>
            </w:pPr>
            <w:r>
              <w:rPr>
                <w:color w:val="000000"/>
              </w:rPr>
              <w:t>0.00</w:t>
            </w:r>
          </w:p>
        </w:tc>
        <w:tc>
          <w:tcPr>
            <w:tcW w:w="0" w:type="auto"/>
            <w:vAlign w:val="bottom"/>
          </w:tcPr>
          <w:p w14:paraId="298C221D" w14:textId="77777777" w:rsidR="00171C5D" w:rsidRDefault="00000000">
            <w:pPr>
              <w:spacing w:beforeAutospacing="1" w:afterAutospacing="1"/>
              <w:jc w:val="right"/>
            </w:pPr>
            <w:r>
              <w:rPr>
                <w:color w:val="000000"/>
              </w:rPr>
              <w:t>0.00</w:t>
            </w:r>
          </w:p>
        </w:tc>
        <w:tc>
          <w:tcPr>
            <w:tcW w:w="0" w:type="auto"/>
            <w:vAlign w:val="bottom"/>
          </w:tcPr>
          <w:p w14:paraId="00058410" w14:textId="77777777" w:rsidR="00171C5D" w:rsidRDefault="00000000">
            <w:pPr>
              <w:spacing w:beforeAutospacing="1" w:afterAutospacing="1"/>
              <w:jc w:val="right"/>
            </w:pPr>
            <w:r>
              <w:rPr>
                <w:color w:val="000000"/>
              </w:rPr>
              <w:t>69,111,699.00</w:t>
            </w:r>
          </w:p>
        </w:tc>
        <w:tc>
          <w:tcPr>
            <w:tcW w:w="0" w:type="auto"/>
            <w:vAlign w:val="bottom"/>
          </w:tcPr>
          <w:p w14:paraId="6EA7FEE6" w14:textId="77777777" w:rsidR="00171C5D" w:rsidRDefault="00000000">
            <w:pPr>
              <w:spacing w:beforeAutospacing="1" w:afterAutospacing="1"/>
              <w:jc w:val="right"/>
            </w:pPr>
            <w:r>
              <w:rPr>
                <w:color w:val="000000"/>
              </w:rPr>
              <w:t>345,559,597.00</w:t>
            </w:r>
          </w:p>
        </w:tc>
        <w:tc>
          <w:tcPr>
            <w:tcW w:w="0" w:type="auto"/>
          </w:tcPr>
          <w:p w14:paraId="3DEABA63" w14:textId="77777777" w:rsidR="00171C5D" w:rsidRDefault="00000000">
            <w:pPr>
              <w:spacing w:beforeAutospacing="1" w:afterAutospacing="1"/>
            </w:pPr>
            <w:r>
              <w:rPr>
                <w:color w:val="000000"/>
              </w:rPr>
              <w:t>Private funds invested in HOME supported multi-family units, raised by CDBG subrecipients, and invested by first-time homebuyers over the life of their liens.</w:t>
            </w:r>
          </w:p>
        </w:tc>
      </w:tr>
      <w:tr w:rsidR="00171C5D" w14:paraId="3EC4F229" w14:textId="77777777">
        <w:trPr>
          <w:cantSplit/>
        </w:trPr>
        <w:tc>
          <w:tcPr>
            <w:tcW w:w="0" w:type="auto"/>
          </w:tcPr>
          <w:p w14:paraId="3EAFCF0F" w14:textId="77777777" w:rsidR="00171C5D" w:rsidRDefault="00000000">
            <w:pPr>
              <w:spacing w:beforeAutospacing="1" w:afterAutospacing="1"/>
            </w:pPr>
            <w:r>
              <w:rPr>
                <w:color w:val="000000"/>
              </w:rPr>
              <w:lastRenderedPageBreak/>
              <w:t>Other</w:t>
            </w:r>
          </w:p>
        </w:tc>
        <w:tc>
          <w:tcPr>
            <w:tcW w:w="0" w:type="auto"/>
          </w:tcPr>
          <w:p w14:paraId="79A75713" w14:textId="77777777" w:rsidR="00171C5D" w:rsidRDefault="00000000">
            <w:pPr>
              <w:spacing w:beforeAutospacing="1" w:afterAutospacing="1"/>
            </w:pPr>
            <w:r>
              <w:rPr>
                <w:color w:val="000000"/>
              </w:rPr>
              <w:t>public - federal</w:t>
            </w:r>
          </w:p>
        </w:tc>
        <w:tc>
          <w:tcPr>
            <w:tcW w:w="0" w:type="auto"/>
          </w:tcPr>
          <w:p w14:paraId="23C471EF" w14:textId="77777777" w:rsidR="00171C5D" w:rsidRDefault="00000000">
            <w:pPr>
              <w:spacing w:beforeAutospacing="1" w:afterAutospacing="1"/>
            </w:pPr>
            <w:r>
              <w:rPr>
                <w:color w:val="000000"/>
              </w:rPr>
              <w:t>Acquisition</w:t>
            </w:r>
            <w:r>
              <w:rPr>
                <w:color w:val="000000"/>
              </w:rPr>
              <w:br/>
              <w:t>Conversion and rehab for transitional housing</w:t>
            </w:r>
            <w:r>
              <w:rPr>
                <w:color w:val="000000"/>
              </w:rPr>
              <w:br/>
              <w:t>Economic Development</w:t>
            </w:r>
            <w:r>
              <w:rPr>
                <w:color w:val="000000"/>
              </w:rPr>
              <w:br/>
              <w:t>Homeowner rehab</w:t>
            </w:r>
            <w:r>
              <w:rPr>
                <w:color w:val="000000"/>
              </w:rPr>
              <w:br/>
              <w:t>Housing</w:t>
            </w:r>
            <w:r>
              <w:rPr>
                <w:color w:val="000000"/>
              </w:rPr>
              <w:br/>
              <w:t>Multifamily rental new construction</w:t>
            </w:r>
            <w:r>
              <w:rPr>
                <w:color w:val="000000"/>
              </w:rPr>
              <w:br/>
              <w:t>Multifamily rental rehab</w:t>
            </w:r>
            <w:r>
              <w:rPr>
                <w:color w:val="000000"/>
              </w:rPr>
              <w:br/>
              <w:t>Public Improvements</w:t>
            </w:r>
            <w:r>
              <w:rPr>
                <w:color w:val="000000"/>
              </w:rPr>
              <w:br/>
              <w:t>Other</w:t>
            </w:r>
          </w:p>
        </w:tc>
        <w:tc>
          <w:tcPr>
            <w:tcW w:w="0" w:type="auto"/>
            <w:vAlign w:val="bottom"/>
          </w:tcPr>
          <w:p w14:paraId="4253A562" w14:textId="77777777" w:rsidR="00171C5D" w:rsidRDefault="00000000">
            <w:pPr>
              <w:spacing w:beforeAutospacing="1" w:afterAutospacing="1"/>
              <w:jc w:val="right"/>
            </w:pPr>
            <w:r>
              <w:rPr>
                <w:color w:val="000000"/>
              </w:rPr>
              <w:t>194,636,275.00</w:t>
            </w:r>
          </w:p>
        </w:tc>
        <w:tc>
          <w:tcPr>
            <w:tcW w:w="0" w:type="auto"/>
            <w:vAlign w:val="bottom"/>
          </w:tcPr>
          <w:p w14:paraId="1DFC65FD" w14:textId="77777777" w:rsidR="00171C5D" w:rsidRDefault="00000000">
            <w:pPr>
              <w:spacing w:beforeAutospacing="1" w:afterAutospacing="1"/>
              <w:jc w:val="right"/>
            </w:pPr>
            <w:r>
              <w:rPr>
                <w:color w:val="000000"/>
              </w:rPr>
              <w:t>0.00</w:t>
            </w:r>
          </w:p>
        </w:tc>
        <w:tc>
          <w:tcPr>
            <w:tcW w:w="0" w:type="auto"/>
            <w:vAlign w:val="bottom"/>
          </w:tcPr>
          <w:p w14:paraId="76E15607" w14:textId="77777777" w:rsidR="00171C5D" w:rsidRDefault="00000000">
            <w:pPr>
              <w:spacing w:beforeAutospacing="1" w:afterAutospacing="1"/>
              <w:jc w:val="right"/>
            </w:pPr>
            <w:r>
              <w:rPr>
                <w:color w:val="000000"/>
              </w:rPr>
              <w:t>0.00</w:t>
            </w:r>
          </w:p>
        </w:tc>
        <w:tc>
          <w:tcPr>
            <w:tcW w:w="0" w:type="auto"/>
            <w:vAlign w:val="bottom"/>
          </w:tcPr>
          <w:p w14:paraId="3DAE3072" w14:textId="77777777" w:rsidR="00171C5D" w:rsidRDefault="00000000">
            <w:pPr>
              <w:spacing w:beforeAutospacing="1" w:afterAutospacing="1"/>
              <w:jc w:val="right"/>
            </w:pPr>
            <w:r>
              <w:rPr>
                <w:color w:val="000000"/>
              </w:rPr>
              <w:t>194,636,275.00</w:t>
            </w:r>
          </w:p>
        </w:tc>
        <w:tc>
          <w:tcPr>
            <w:tcW w:w="0" w:type="auto"/>
            <w:vAlign w:val="bottom"/>
          </w:tcPr>
          <w:p w14:paraId="5E856073" w14:textId="77777777" w:rsidR="00171C5D" w:rsidRDefault="00000000">
            <w:pPr>
              <w:spacing w:beforeAutospacing="1" w:afterAutospacing="1"/>
              <w:jc w:val="right"/>
            </w:pPr>
            <w:r>
              <w:rPr>
                <w:color w:val="000000"/>
              </w:rPr>
              <w:t>583,908,800.00</w:t>
            </w:r>
          </w:p>
        </w:tc>
        <w:tc>
          <w:tcPr>
            <w:tcW w:w="0" w:type="auto"/>
          </w:tcPr>
          <w:p w14:paraId="3DD21037" w14:textId="77777777" w:rsidR="00171C5D" w:rsidRDefault="00000000">
            <w:pPr>
              <w:spacing w:beforeAutospacing="1" w:afterAutospacing="1"/>
            </w:pPr>
            <w:r>
              <w:rPr>
                <w:color w:val="000000"/>
              </w:rPr>
              <w:t>Various other federal funding awards, such as ARPA, lead, housing counseling, employment and small business, and other funds.</w:t>
            </w:r>
          </w:p>
        </w:tc>
      </w:tr>
      <w:tr w:rsidR="00171C5D" w14:paraId="61468154" w14:textId="77777777">
        <w:trPr>
          <w:cantSplit/>
        </w:trPr>
        <w:tc>
          <w:tcPr>
            <w:tcW w:w="0" w:type="auto"/>
          </w:tcPr>
          <w:p w14:paraId="248AE31E" w14:textId="77777777" w:rsidR="00171C5D" w:rsidRDefault="00000000">
            <w:pPr>
              <w:spacing w:beforeAutospacing="1" w:afterAutospacing="1"/>
            </w:pPr>
            <w:r>
              <w:rPr>
                <w:color w:val="000000"/>
              </w:rPr>
              <w:lastRenderedPageBreak/>
              <w:t>Other</w:t>
            </w:r>
          </w:p>
        </w:tc>
        <w:tc>
          <w:tcPr>
            <w:tcW w:w="0" w:type="auto"/>
          </w:tcPr>
          <w:p w14:paraId="7F37AFAA" w14:textId="77777777" w:rsidR="00171C5D" w:rsidRDefault="00000000">
            <w:pPr>
              <w:spacing w:beforeAutospacing="1" w:afterAutospacing="1"/>
            </w:pPr>
            <w:r>
              <w:rPr>
                <w:color w:val="000000"/>
              </w:rPr>
              <w:t>public - state</w:t>
            </w:r>
          </w:p>
        </w:tc>
        <w:tc>
          <w:tcPr>
            <w:tcW w:w="0" w:type="auto"/>
          </w:tcPr>
          <w:p w14:paraId="165B0EB0" w14:textId="77777777" w:rsidR="00171C5D" w:rsidRDefault="00000000">
            <w:pPr>
              <w:spacing w:beforeAutospacing="1" w:afterAutospacing="1"/>
            </w:pPr>
            <w:r>
              <w:rPr>
                <w:color w:val="000000"/>
              </w:rPr>
              <w:t>Acquisition</w:t>
            </w:r>
            <w:r>
              <w:rPr>
                <w:color w:val="000000"/>
              </w:rPr>
              <w:br/>
              <w:t>Conversion and rehab for transitional housing</w:t>
            </w:r>
            <w:r>
              <w:rPr>
                <w:color w:val="000000"/>
              </w:rPr>
              <w:br/>
              <w:t>Economic Development</w:t>
            </w:r>
            <w:r>
              <w:rPr>
                <w:color w:val="000000"/>
              </w:rPr>
              <w:br/>
              <w:t>Financial Assistance</w:t>
            </w:r>
            <w:r>
              <w:rPr>
                <w:color w:val="000000"/>
              </w:rPr>
              <w:br/>
              <w:t>Homebuyer assistance</w:t>
            </w:r>
            <w:r>
              <w:rPr>
                <w:color w:val="000000"/>
              </w:rPr>
              <w:br/>
              <w:t>Homeowner rehab</w:t>
            </w:r>
            <w:r>
              <w:rPr>
                <w:color w:val="000000"/>
              </w:rPr>
              <w:br/>
              <w:t>Housing</w:t>
            </w:r>
            <w:r>
              <w:rPr>
                <w:color w:val="000000"/>
              </w:rPr>
              <w:br/>
              <w:t>Multifamily rental new construction</w:t>
            </w:r>
            <w:r>
              <w:rPr>
                <w:color w:val="000000"/>
              </w:rPr>
              <w:br/>
              <w:t>Multifamily rental rehab</w:t>
            </w:r>
            <w:r>
              <w:rPr>
                <w:color w:val="000000"/>
              </w:rPr>
              <w:br/>
              <w:t>New construction for ownership</w:t>
            </w:r>
            <w:r>
              <w:rPr>
                <w:color w:val="000000"/>
              </w:rPr>
              <w:br/>
              <w:t>Overnight shelter</w:t>
            </w:r>
            <w:r>
              <w:rPr>
                <w:color w:val="000000"/>
              </w:rPr>
              <w:br/>
              <w:t>Permanent housing in facilities</w:t>
            </w:r>
            <w:r>
              <w:rPr>
                <w:color w:val="000000"/>
              </w:rPr>
              <w:br/>
              <w:t>Permanent housing placement</w:t>
            </w:r>
            <w:r>
              <w:rPr>
                <w:color w:val="000000"/>
              </w:rPr>
              <w:br/>
              <w:t>Public Improvements</w:t>
            </w:r>
            <w:r>
              <w:rPr>
                <w:color w:val="000000"/>
              </w:rPr>
              <w:br/>
              <w:t>Public Services</w:t>
            </w:r>
            <w:r>
              <w:rPr>
                <w:color w:val="000000"/>
              </w:rPr>
              <w:br/>
              <w:t>Rapid re-housing (rental assistance)</w:t>
            </w:r>
            <w:r>
              <w:rPr>
                <w:color w:val="000000"/>
              </w:rPr>
              <w:br/>
              <w:t>Rental Assistance</w:t>
            </w:r>
            <w:r>
              <w:rPr>
                <w:color w:val="000000"/>
              </w:rPr>
              <w:br/>
              <w:t>Services</w:t>
            </w:r>
            <w:r>
              <w:rPr>
                <w:color w:val="000000"/>
              </w:rPr>
              <w:br/>
              <w:t>Short term or transitional housing facilities</w:t>
            </w:r>
            <w:r>
              <w:rPr>
                <w:color w:val="000000"/>
              </w:rPr>
              <w:br/>
              <w:t>STRMU</w:t>
            </w:r>
            <w:r>
              <w:rPr>
                <w:color w:val="000000"/>
              </w:rPr>
              <w:br/>
              <w:t>Supportive services</w:t>
            </w:r>
            <w:r>
              <w:rPr>
                <w:color w:val="000000"/>
              </w:rPr>
              <w:br/>
              <w:t>TBRA</w:t>
            </w:r>
            <w:r>
              <w:rPr>
                <w:color w:val="000000"/>
              </w:rPr>
              <w:br/>
              <w:t>Transitional housing</w:t>
            </w:r>
          </w:p>
        </w:tc>
        <w:tc>
          <w:tcPr>
            <w:tcW w:w="0" w:type="auto"/>
            <w:vAlign w:val="bottom"/>
          </w:tcPr>
          <w:p w14:paraId="3E4F2837" w14:textId="77777777" w:rsidR="00171C5D" w:rsidRDefault="00000000">
            <w:pPr>
              <w:spacing w:beforeAutospacing="1" w:afterAutospacing="1"/>
              <w:jc w:val="right"/>
            </w:pPr>
            <w:r>
              <w:rPr>
                <w:color w:val="000000"/>
              </w:rPr>
              <w:t>89,421,252.00</w:t>
            </w:r>
          </w:p>
        </w:tc>
        <w:tc>
          <w:tcPr>
            <w:tcW w:w="0" w:type="auto"/>
            <w:vAlign w:val="bottom"/>
          </w:tcPr>
          <w:p w14:paraId="7DC69B3F" w14:textId="77777777" w:rsidR="00171C5D" w:rsidRDefault="00000000">
            <w:pPr>
              <w:spacing w:beforeAutospacing="1" w:afterAutospacing="1"/>
              <w:jc w:val="right"/>
            </w:pPr>
            <w:r>
              <w:rPr>
                <w:color w:val="000000"/>
              </w:rPr>
              <w:t>0.00</w:t>
            </w:r>
          </w:p>
        </w:tc>
        <w:tc>
          <w:tcPr>
            <w:tcW w:w="0" w:type="auto"/>
            <w:vAlign w:val="bottom"/>
          </w:tcPr>
          <w:p w14:paraId="473EB4DA" w14:textId="77777777" w:rsidR="00171C5D" w:rsidRDefault="00000000">
            <w:pPr>
              <w:spacing w:beforeAutospacing="1" w:afterAutospacing="1"/>
              <w:jc w:val="right"/>
            </w:pPr>
            <w:r>
              <w:rPr>
                <w:color w:val="000000"/>
              </w:rPr>
              <w:t>0.00</w:t>
            </w:r>
          </w:p>
        </w:tc>
        <w:tc>
          <w:tcPr>
            <w:tcW w:w="0" w:type="auto"/>
            <w:vAlign w:val="bottom"/>
          </w:tcPr>
          <w:p w14:paraId="4BACD780" w14:textId="77777777" w:rsidR="00171C5D" w:rsidRDefault="00000000">
            <w:pPr>
              <w:spacing w:beforeAutospacing="1" w:afterAutospacing="1"/>
              <w:jc w:val="right"/>
            </w:pPr>
            <w:r>
              <w:rPr>
                <w:color w:val="000000"/>
              </w:rPr>
              <w:t>89,421,252.00</w:t>
            </w:r>
          </w:p>
        </w:tc>
        <w:tc>
          <w:tcPr>
            <w:tcW w:w="0" w:type="auto"/>
            <w:vAlign w:val="bottom"/>
          </w:tcPr>
          <w:p w14:paraId="40D42E34" w14:textId="77777777" w:rsidR="00171C5D" w:rsidRDefault="00000000">
            <w:pPr>
              <w:spacing w:beforeAutospacing="1" w:afterAutospacing="1"/>
              <w:jc w:val="right"/>
            </w:pPr>
            <w:r>
              <w:rPr>
                <w:color w:val="000000"/>
              </w:rPr>
              <w:t>447,106,260.00</w:t>
            </w:r>
          </w:p>
        </w:tc>
        <w:tc>
          <w:tcPr>
            <w:tcW w:w="0" w:type="auto"/>
          </w:tcPr>
          <w:p w14:paraId="26FD5F87" w14:textId="77777777" w:rsidR="00171C5D" w:rsidRDefault="00000000">
            <w:pPr>
              <w:spacing w:beforeAutospacing="1" w:afterAutospacing="1"/>
            </w:pPr>
            <w:r>
              <w:rPr>
                <w:color w:val="000000"/>
              </w:rPr>
              <w:t xml:space="preserve">State funds from various agencies to support </w:t>
            </w:r>
            <w:proofErr w:type="gramStart"/>
            <w:r>
              <w:rPr>
                <w:color w:val="000000"/>
              </w:rPr>
              <w:t>uses</w:t>
            </w:r>
            <w:proofErr w:type="gramEnd"/>
            <w:r>
              <w:rPr>
                <w:color w:val="000000"/>
              </w:rPr>
              <w:t xml:space="preserve"> such as demolitions, homeless and HIV housing and services, rental housing construction, and various CDBG subrecipients.</w:t>
            </w:r>
          </w:p>
        </w:tc>
      </w:tr>
      <w:tr w:rsidR="00171C5D" w14:paraId="6999356C" w14:textId="77777777">
        <w:trPr>
          <w:cantSplit/>
        </w:trPr>
        <w:tc>
          <w:tcPr>
            <w:tcW w:w="0" w:type="auto"/>
          </w:tcPr>
          <w:p w14:paraId="68DC51B3" w14:textId="77777777" w:rsidR="00171C5D" w:rsidRDefault="00000000">
            <w:pPr>
              <w:spacing w:beforeAutospacing="1" w:afterAutospacing="1"/>
            </w:pPr>
            <w:r>
              <w:rPr>
                <w:color w:val="000000"/>
              </w:rPr>
              <w:lastRenderedPageBreak/>
              <w:t>Other</w:t>
            </w:r>
          </w:p>
        </w:tc>
        <w:tc>
          <w:tcPr>
            <w:tcW w:w="0" w:type="auto"/>
          </w:tcPr>
          <w:p w14:paraId="6737263A" w14:textId="77777777" w:rsidR="00171C5D" w:rsidRDefault="00000000">
            <w:pPr>
              <w:spacing w:beforeAutospacing="1" w:afterAutospacing="1"/>
            </w:pPr>
            <w:r>
              <w:rPr>
                <w:color w:val="000000"/>
              </w:rPr>
              <w:t>public - local</w:t>
            </w:r>
          </w:p>
        </w:tc>
        <w:tc>
          <w:tcPr>
            <w:tcW w:w="0" w:type="auto"/>
          </w:tcPr>
          <w:p w14:paraId="49C275FB" w14:textId="77777777" w:rsidR="00171C5D" w:rsidRDefault="00000000">
            <w:pPr>
              <w:spacing w:beforeAutospacing="1" w:afterAutospacing="1"/>
            </w:pPr>
            <w:r>
              <w:rPr>
                <w:color w:val="000000"/>
              </w:rPr>
              <w:t>Acquisition</w:t>
            </w:r>
            <w:r>
              <w:rPr>
                <w:color w:val="000000"/>
              </w:rPr>
              <w:br/>
              <w:t>Conversion and rehab for transitional housing</w:t>
            </w:r>
            <w:r>
              <w:rPr>
                <w:color w:val="000000"/>
              </w:rPr>
              <w:br/>
              <w:t>Economic Development</w:t>
            </w:r>
            <w:r>
              <w:rPr>
                <w:color w:val="000000"/>
              </w:rPr>
              <w:br/>
              <w:t>Financial Assistance</w:t>
            </w:r>
            <w:r>
              <w:rPr>
                <w:color w:val="000000"/>
              </w:rPr>
              <w:br/>
              <w:t>Homebuyer assistance</w:t>
            </w:r>
            <w:r>
              <w:rPr>
                <w:color w:val="000000"/>
              </w:rPr>
              <w:br/>
              <w:t>Homeowner rehab</w:t>
            </w:r>
            <w:r>
              <w:rPr>
                <w:color w:val="000000"/>
              </w:rPr>
              <w:br/>
              <w:t>Housing</w:t>
            </w:r>
            <w:r>
              <w:rPr>
                <w:color w:val="000000"/>
              </w:rPr>
              <w:br/>
              <w:t>Multifamily rental new construction</w:t>
            </w:r>
            <w:r>
              <w:rPr>
                <w:color w:val="000000"/>
              </w:rPr>
              <w:br/>
              <w:t>Multifamily rental rehab</w:t>
            </w:r>
            <w:r>
              <w:rPr>
                <w:color w:val="000000"/>
              </w:rPr>
              <w:br/>
              <w:t>New construction for ownership</w:t>
            </w:r>
            <w:r>
              <w:rPr>
                <w:color w:val="000000"/>
              </w:rPr>
              <w:br/>
              <w:t>Overnight shelter</w:t>
            </w:r>
            <w:r>
              <w:rPr>
                <w:color w:val="000000"/>
              </w:rPr>
              <w:br/>
              <w:t>Permanent housing in facilities</w:t>
            </w:r>
            <w:r>
              <w:rPr>
                <w:color w:val="000000"/>
              </w:rPr>
              <w:br/>
              <w:t>Permanent housing placement</w:t>
            </w:r>
            <w:r>
              <w:rPr>
                <w:color w:val="000000"/>
              </w:rPr>
              <w:br/>
              <w:t>Public Improvements</w:t>
            </w:r>
            <w:r>
              <w:rPr>
                <w:color w:val="000000"/>
              </w:rPr>
              <w:br/>
              <w:t>Public Services</w:t>
            </w:r>
            <w:r>
              <w:rPr>
                <w:color w:val="000000"/>
              </w:rPr>
              <w:br/>
              <w:t>Rapid re-housing (rental assistance)</w:t>
            </w:r>
            <w:r>
              <w:rPr>
                <w:color w:val="000000"/>
              </w:rPr>
              <w:br/>
              <w:t>Rental Assistance</w:t>
            </w:r>
            <w:r>
              <w:rPr>
                <w:color w:val="000000"/>
              </w:rPr>
              <w:br/>
              <w:t>Services</w:t>
            </w:r>
            <w:r>
              <w:rPr>
                <w:color w:val="000000"/>
              </w:rPr>
              <w:br/>
              <w:t>Short term or transitional housing facilities</w:t>
            </w:r>
            <w:r>
              <w:rPr>
                <w:color w:val="000000"/>
              </w:rPr>
              <w:br/>
              <w:t>STRMU</w:t>
            </w:r>
            <w:r>
              <w:rPr>
                <w:color w:val="000000"/>
              </w:rPr>
              <w:br/>
              <w:t>Supportive services</w:t>
            </w:r>
            <w:r>
              <w:rPr>
                <w:color w:val="000000"/>
              </w:rPr>
              <w:br/>
              <w:t>TBRA</w:t>
            </w:r>
            <w:r>
              <w:rPr>
                <w:color w:val="000000"/>
              </w:rPr>
              <w:br/>
              <w:t>Transitional housing</w:t>
            </w:r>
          </w:p>
        </w:tc>
        <w:tc>
          <w:tcPr>
            <w:tcW w:w="0" w:type="auto"/>
            <w:vAlign w:val="bottom"/>
          </w:tcPr>
          <w:p w14:paraId="44350223" w14:textId="77777777" w:rsidR="00171C5D" w:rsidRDefault="00000000">
            <w:pPr>
              <w:spacing w:beforeAutospacing="1" w:afterAutospacing="1"/>
              <w:jc w:val="right"/>
            </w:pPr>
            <w:r>
              <w:rPr>
                <w:color w:val="000000"/>
              </w:rPr>
              <w:t>123,000,000.00</w:t>
            </w:r>
          </w:p>
        </w:tc>
        <w:tc>
          <w:tcPr>
            <w:tcW w:w="0" w:type="auto"/>
            <w:vAlign w:val="bottom"/>
          </w:tcPr>
          <w:p w14:paraId="409FDE65" w14:textId="77777777" w:rsidR="00171C5D" w:rsidRDefault="00000000">
            <w:pPr>
              <w:spacing w:beforeAutospacing="1" w:afterAutospacing="1"/>
              <w:jc w:val="right"/>
            </w:pPr>
            <w:r>
              <w:rPr>
                <w:color w:val="000000"/>
              </w:rPr>
              <w:t>0.00</w:t>
            </w:r>
          </w:p>
        </w:tc>
        <w:tc>
          <w:tcPr>
            <w:tcW w:w="0" w:type="auto"/>
            <w:vAlign w:val="bottom"/>
          </w:tcPr>
          <w:p w14:paraId="50238ED3" w14:textId="77777777" w:rsidR="00171C5D" w:rsidRDefault="00000000">
            <w:pPr>
              <w:spacing w:beforeAutospacing="1" w:afterAutospacing="1"/>
              <w:jc w:val="right"/>
            </w:pPr>
            <w:r>
              <w:rPr>
                <w:color w:val="000000"/>
              </w:rPr>
              <w:t>0.00</w:t>
            </w:r>
          </w:p>
        </w:tc>
        <w:tc>
          <w:tcPr>
            <w:tcW w:w="0" w:type="auto"/>
            <w:vAlign w:val="bottom"/>
          </w:tcPr>
          <w:p w14:paraId="7F2B0F16" w14:textId="77777777" w:rsidR="00171C5D" w:rsidRDefault="00000000">
            <w:pPr>
              <w:spacing w:beforeAutospacing="1" w:afterAutospacing="1"/>
              <w:jc w:val="right"/>
            </w:pPr>
            <w:r>
              <w:rPr>
                <w:color w:val="000000"/>
              </w:rPr>
              <w:t>123,000,000.00</w:t>
            </w:r>
          </w:p>
        </w:tc>
        <w:tc>
          <w:tcPr>
            <w:tcW w:w="0" w:type="auto"/>
            <w:vAlign w:val="bottom"/>
          </w:tcPr>
          <w:p w14:paraId="31EEC869" w14:textId="77777777" w:rsidR="00171C5D" w:rsidRDefault="00000000">
            <w:pPr>
              <w:spacing w:beforeAutospacing="1" w:afterAutospacing="1"/>
              <w:jc w:val="right"/>
            </w:pPr>
            <w:r>
              <w:rPr>
                <w:color w:val="000000"/>
              </w:rPr>
              <w:t>111,697,750.00</w:t>
            </w:r>
          </w:p>
        </w:tc>
        <w:tc>
          <w:tcPr>
            <w:tcW w:w="0" w:type="auto"/>
          </w:tcPr>
          <w:p w14:paraId="308B4314" w14:textId="77777777" w:rsidR="00171C5D" w:rsidRDefault="00000000">
            <w:pPr>
              <w:spacing w:beforeAutospacing="1" w:afterAutospacing="1"/>
            </w:pPr>
            <w:r>
              <w:rPr>
                <w:color w:val="000000"/>
              </w:rPr>
              <w:t>Local awards and bonds to support various activities by subrecipients, demolition and property change, homelessness, and community and economic development.</w:t>
            </w:r>
          </w:p>
        </w:tc>
      </w:tr>
    </w:tbl>
    <w:p w14:paraId="35A3644D" w14:textId="77777777" w:rsidR="00171C5D" w:rsidRDefault="00000000">
      <w:pPr>
        <w:pStyle w:val="Caption"/>
        <w:jc w:val="center"/>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584B9F4F" w14:textId="77777777" w:rsidR="00171C5D" w:rsidRDefault="00171C5D">
      <w:pPr>
        <w:spacing w:after="0" w:line="240" w:lineRule="auto"/>
        <w:rPr>
          <w:b/>
          <w:sz w:val="24"/>
          <w:szCs w:val="24"/>
        </w:rPr>
      </w:pPr>
    </w:p>
    <w:p w14:paraId="682B8286" w14:textId="77777777" w:rsidR="00171C5D" w:rsidRDefault="00000000">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14:paraId="683B2CF0" w14:textId="77777777" w:rsidR="00171C5D" w:rsidRDefault="00000000">
      <w:pPr>
        <w:widowControl w:val="0"/>
        <w:spacing w:beforeAutospacing="1" w:afterAutospacing="1"/>
        <w:rPr>
          <w:szCs w:val="24"/>
        </w:rPr>
      </w:pPr>
      <w:r>
        <w:t>In addressing housing and community development needs, Baltimore City will continue its policy of using federal grant funds to leverage state, local, foundation and private financing. Among the criteria by which potential development or public service proposals are analyzed, the amount of funds leveraged is one of the most important in deciding if the City will support a proposed activity.</w:t>
      </w:r>
    </w:p>
    <w:p w14:paraId="4137E05C" w14:textId="77777777" w:rsidR="00171C5D" w:rsidRDefault="00000000">
      <w:pPr>
        <w:widowControl w:val="0"/>
        <w:spacing w:beforeAutospacing="1" w:afterAutospacing="1"/>
        <w:rPr>
          <w:szCs w:val="24"/>
        </w:rPr>
      </w:pPr>
      <w:r>
        <w:t xml:space="preserve">In consideration of potential capital development projects for which HOME or CDBG funds will be requested, several factors are essential for approval. These factors include but are not limited </w:t>
      </w:r>
      <w:proofErr w:type="gramStart"/>
      <w:r>
        <w:t>to:</w:t>
      </w:r>
      <w:proofErr w:type="gramEnd"/>
      <w:r>
        <w:t xml:space="preserve"> the amount of developer equity, private financing or lender commitments, tax credit and syndication proceeds, State participation, either through bonds or housing and community development and/or mortgage programs, foundation or institutional grants, community in-kind and sweat equity contributions, and volunteer provision of goods and services. As the HOME Program sets a limit on the amount that can be spent on the development of each housing unit, greater emphasis is placed on the leverage factor when such funds are involved. On occasion CDBG capital funds may be used to fill gaps in HOME funded projects. It should be noted that some CDBG funded activities - both operating and capital - serving very- and </w:t>
      </w:r>
      <w:proofErr w:type="gramStart"/>
      <w:r>
        <w:t>extremely-low</w:t>
      </w:r>
      <w:proofErr w:type="gramEnd"/>
      <w:r>
        <w:t xml:space="preserve"> income households do not leverage significant additional resources. In contrast, modest CDBG grants </w:t>
      </w:r>
      <w:proofErr w:type="gramStart"/>
      <w:r>
        <w:t>assisting first time</w:t>
      </w:r>
      <w:proofErr w:type="gramEnd"/>
      <w:r>
        <w:t xml:space="preserve"> homebuyers have extremely high grant-to-total expenditure ratios.</w:t>
      </w:r>
    </w:p>
    <w:p w14:paraId="17A6F5DA" w14:textId="77777777" w:rsidR="00171C5D" w:rsidRDefault="00000000">
      <w:pPr>
        <w:widowControl w:val="0"/>
        <w:spacing w:beforeAutospacing="1" w:afterAutospacing="1"/>
        <w:rPr>
          <w:szCs w:val="24"/>
        </w:rPr>
      </w:pPr>
      <w:r>
        <w:t xml:space="preserve">The City meets the required HOME matching contribution in three ways: </w:t>
      </w:r>
      <w:r>
        <w:br/>
        <w:t xml:space="preserve">• With General Obligation Bond funds </w:t>
      </w:r>
      <w:r>
        <w:br/>
        <w:t xml:space="preserve">• Contribution of Land or Infrastructure </w:t>
      </w:r>
      <w:r>
        <w:br/>
        <w:t>• Permanent cash contributions from developers, foundations and other sources</w:t>
      </w:r>
    </w:p>
    <w:p w14:paraId="7B326A28" w14:textId="77777777" w:rsidR="00171C5D" w:rsidRDefault="00000000">
      <w:pPr>
        <w:widowControl w:val="0"/>
        <w:spacing w:beforeAutospacing="1" w:afterAutospacing="1"/>
        <w:rPr>
          <w:szCs w:val="24"/>
        </w:rPr>
      </w:pPr>
      <w:r>
        <w:t xml:space="preserve">The other federal formula grants – ESG and HOPWA programs - are leveraged in a different manner. MOHS relies on Consolidated Plan funds to provide a foundation for our community and economic development activities. However, they are by no means the only investments the </w:t>
      </w:r>
      <w:proofErr w:type="gramStart"/>
      <w:r>
        <w:t>City</w:t>
      </w:r>
      <w:proofErr w:type="gramEnd"/>
      <w:r>
        <w:t xml:space="preserve"> or the community at large make in programs and services to support low- and moderate-income populations.</w:t>
      </w:r>
    </w:p>
    <w:p w14:paraId="581F890D" w14:textId="77777777" w:rsidR="00171C5D" w:rsidRDefault="00000000">
      <w:pPr>
        <w:widowControl w:val="0"/>
        <w:spacing w:beforeAutospacing="1" w:afterAutospacing="1"/>
        <w:rPr>
          <w:szCs w:val="24"/>
        </w:rPr>
      </w:pPr>
      <w:r>
        <w:t xml:space="preserve">The amount of funding awarded is based on benefit to be derived and economies of scale, thereby leveraging efficiency and maximum cost-effectiveness. Although the fiscal impact and diversity of funding of ESG and HOPWA activities is often smaller than for CDBG and HOME projects, the efforts of volunteers, the value of donated materials and private or other government contributions are considered important </w:t>
      </w:r>
      <w:r>
        <w:lastRenderedPageBreak/>
        <w:t>factors before City commitments are made. Non-Profit agencies leverage private/public funds from foundations, donations, other federal and state funds to supplement the CDBG funds available to them for operating and capital support.</w:t>
      </w:r>
    </w:p>
    <w:p w14:paraId="4CD98FC3" w14:textId="77777777" w:rsidR="00171C5D" w:rsidRDefault="00171C5D">
      <w:pPr>
        <w:keepNext/>
        <w:widowControl w:val="0"/>
        <w:rPr>
          <w:b/>
          <w:sz w:val="24"/>
          <w:szCs w:val="24"/>
        </w:rPr>
        <w:sectPr w:rsidR="00171C5D">
          <w:footerReference w:type="default" r:id="rId11"/>
          <w:pgSz w:w="15840" w:h="12240" w:orient="landscape" w:code="1"/>
          <w:pgMar w:top="1440" w:right="1440" w:bottom="1440" w:left="1440" w:header="720" w:footer="720" w:gutter="0"/>
          <w:cols w:space="720"/>
          <w:docGrid w:linePitch="360"/>
        </w:sectPr>
      </w:pPr>
    </w:p>
    <w:p w14:paraId="516D1616" w14:textId="77777777" w:rsidR="00171C5D" w:rsidRDefault="00000000">
      <w:pPr>
        <w:keepNext/>
        <w:widowControl w:val="0"/>
        <w:rPr>
          <w:b/>
          <w:sz w:val="24"/>
          <w:szCs w:val="24"/>
        </w:rPr>
      </w:pPr>
      <w:r>
        <w:rPr>
          <w:b/>
          <w:sz w:val="24"/>
          <w:szCs w:val="24"/>
        </w:rPr>
        <w:lastRenderedPageBreak/>
        <w:t xml:space="preserve">If appropriate, describe </w:t>
      </w:r>
      <w:proofErr w:type="spellStart"/>
      <w:r>
        <w:rPr>
          <w:b/>
          <w:sz w:val="24"/>
          <w:szCs w:val="24"/>
        </w:rPr>
        <w:t>publically</w:t>
      </w:r>
      <w:proofErr w:type="spellEnd"/>
      <w:r>
        <w:rPr>
          <w:b/>
          <w:sz w:val="24"/>
          <w:szCs w:val="24"/>
        </w:rPr>
        <w:t xml:space="preserve"> owned land or property located within the jurisdiction that may be used to address the needs identified in the plan</w:t>
      </w:r>
    </w:p>
    <w:p w14:paraId="60F5398F" w14:textId="77777777" w:rsidR="00171C5D" w:rsidRDefault="00000000">
      <w:pPr>
        <w:keepNext/>
        <w:widowControl w:val="0"/>
        <w:spacing w:beforeAutospacing="1" w:afterAutospacing="1"/>
        <w:rPr>
          <w:szCs w:val="24"/>
        </w:rPr>
      </w:pPr>
      <w:r>
        <w:t>The city will continue to make the properties that it owns available for housing and a wide range of redevelopment projects. This will involve hundreds of properties in the five-year period covered by this Plan. </w:t>
      </w:r>
    </w:p>
    <w:p w14:paraId="3AAE0E8C" w14:textId="77777777" w:rsidR="00171C5D" w:rsidRDefault="00000000">
      <w:pPr>
        <w:keepNext/>
        <w:widowControl w:val="0"/>
        <w:spacing w:line="204" w:lineRule="auto"/>
        <w:rPr>
          <w:b/>
          <w:sz w:val="24"/>
          <w:szCs w:val="24"/>
        </w:rPr>
      </w:pPr>
      <w:r>
        <w:rPr>
          <w:b/>
          <w:sz w:val="24"/>
          <w:szCs w:val="24"/>
        </w:rPr>
        <w:t>Discussion</w:t>
      </w:r>
    </w:p>
    <w:p w14:paraId="4270E468" w14:textId="77777777" w:rsidR="00171C5D" w:rsidRDefault="00171C5D">
      <w:pPr>
        <w:keepNext/>
        <w:widowControl w:val="0"/>
        <w:spacing w:line="204" w:lineRule="auto"/>
        <w:rPr>
          <w:b/>
          <w:sz w:val="24"/>
          <w:szCs w:val="24"/>
        </w:rPr>
      </w:pPr>
    </w:p>
    <w:p w14:paraId="7FF7318F" w14:textId="77777777" w:rsidR="00171C5D" w:rsidRDefault="00171C5D">
      <w:pPr>
        <w:pStyle w:val="Heading1"/>
        <w:pageBreakBefore/>
        <w:jc w:val="center"/>
        <w:rPr>
          <w:rFonts w:ascii="Calibri" w:hAnsi="Calibri"/>
          <w:color w:val="auto"/>
          <w:sz w:val="32"/>
          <w:szCs w:val="32"/>
        </w:rPr>
        <w:sectPr w:rsidR="00171C5D">
          <w:pgSz w:w="12240" w:h="15840" w:code="1"/>
          <w:pgMar w:top="1440" w:right="1440" w:bottom="1440" w:left="1440" w:header="720" w:footer="720" w:gutter="0"/>
          <w:cols w:space="720"/>
          <w:docGrid w:linePitch="360"/>
        </w:sectPr>
      </w:pPr>
    </w:p>
    <w:p w14:paraId="49353B9A" w14:textId="77777777" w:rsidR="00171C5D"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1A3C5824" w14:textId="77777777" w:rsidR="00171C5D" w:rsidRDefault="00171C5D">
      <w:pPr>
        <w:rPr>
          <w:b/>
          <w:sz w:val="28"/>
          <w:szCs w:val="28"/>
        </w:rPr>
      </w:pPr>
    </w:p>
    <w:p w14:paraId="180E24B6" w14:textId="77777777" w:rsidR="00171C5D" w:rsidRDefault="00000000">
      <w:pPr>
        <w:rPr>
          <w:b/>
          <w:sz w:val="28"/>
          <w:szCs w:val="28"/>
        </w:rPr>
      </w:pPr>
      <w:r>
        <w:rPr>
          <w:b/>
          <w:sz w:val="28"/>
          <w:szCs w:val="28"/>
        </w:rPr>
        <w:t>AP-20 Annual Goals and Objectives</w:t>
      </w:r>
    </w:p>
    <w:p w14:paraId="71A32677" w14:textId="77777777" w:rsidR="00171C5D" w:rsidRDefault="00000000">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868"/>
        <w:gridCol w:w="663"/>
        <w:gridCol w:w="663"/>
        <w:gridCol w:w="1604"/>
        <w:gridCol w:w="1562"/>
        <w:gridCol w:w="1792"/>
        <w:gridCol w:w="1860"/>
        <w:gridCol w:w="3038"/>
      </w:tblGrid>
      <w:tr w:rsidR="00171C5D" w14:paraId="7FFC5FD0" w14:textId="77777777">
        <w:trPr>
          <w:cantSplit/>
          <w:trHeight w:val="486"/>
          <w:tblHeader/>
        </w:trPr>
        <w:tc>
          <w:tcPr>
            <w:tcW w:w="1808" w:type="dxa"/>
          </w:tcPr>
          <w:p w14:paraId="1B07A6F5" w14:textId="77777777" w:rsidR="00171C5D" w:rsidRDefault="00000000">
            <w:pPr>
              <w:keepNext/>
              <w:widowControl w:val="0"/>
              <w:spacing w:after="0" w:line="240" w:lineRule="auto"/>
              <w:jc w:val="center"/>
              <w:rPr>
                <w:b/>
                <w:sz w:val="20"/>
                <w:szCs w:val="20"/>
              </w:rPr>
            </w:pPr>
            <w:r>
              <w:rPr>
                <w:b/>
                <w:sz w:val="20"/>
                <w:szCs w:val="20"/>
              </w:rPr>
              <w:t>Sort Order</w:t>
            </w:r>
          </w:p>
        </w:tc>
        <w:tc>
          <w:tcPr>
            <w:tcW w:w="1809" w:type="dxa"/>
          </w:tcPr>
          <w:p w14:paraId="0F9CC512" w14:textId="77777777" w:rsidR="00171C5D" w:rsidRDefault="00000000">
            <w:pPr>
              <w:keepNext/>
              <w:widowControl w:val="0"/>
              <w:spacing w:after="0" w:line="240" w:lineRule="auto"/>
              <w:jc w:val="center"/>
              <w:rPr>
                <w:b/>
                <w:sz w:val="20"/>
                <w:szCs w:val="20"/>
              </w:rPr>
            </w:pPr>
            <w:r>
              <w:rPr>
                <w:b/>
                <w:sz w:val="20"/>
                <w:szCs w:val="20"/>
              </w:rPr>
              <w:t>Goal Name</w:t>
            </w:r>
          </w:p>
        </w:tc>
        <w:tc>
          <w:tcPr>
            <w:tcW w:w="582" w:type="dxa"/>
          </w:tcPr>
          <w:p w14:paraId="0C4102A2" w14:textId="77777777" w:rsidR="00171C5D" w:rsidRDefault="00000000">
            <w:pPr>
              <w:keepNext/>
              <w:widowControl w:val="0"/>
              <w:spacing w:after="0" w:line="240" w:lineRule="auto"/>
              <w:jc w:val="center"/>
              <w:rPr>
                <w:b/>
                <w:sz w:val="20"/>
                <w:szCs w:val="20"/>
              </w:rPr>
            </w:pPr>
            <w:r>
              <w:rPr>
                <w:b/>
                <w:sz w:val="20"/>
                <w:szCs w:val="20"/>
              </w:rPr>
              <w:t>Start Year</w:t>
            </w:r>
          </w:p>
        </w:tc>
        <w:tc>
          <w:tcPr>
            <w:tcW w:w="555" w:type="dxa"/>
          </w:tcPr>
          <w:p w14:paraId="350EB215" w14:textId="77777777" w:rsidR="00171C5D" w:rsidRDefault="00000000">
            <w:pPr>
              <w:keepNext/>
              <w:widowControl w:val="0"/>
              <w:spacing w:after="0" w:line="240" w:lineRule="auto"/>
              <w:jc w:val="center"/>
              <w:rPr>
                <w:b/>
                <w:sz w:val="20"/>
                <w:szCs w:val="20"/>
              </w:rPr>
            </w:pPr>
            <w:r>
              <w:rPr>
                <w:b/>
                <w:sz w:val="20"/>
                <w:szCs w:val="20"/>
              </w:rPr>
              <w:t>End Year</w:t>
            </w:r>
          </w:p>
        </w:tc>
        <w:tc>
          <w:tcPr>
            <w:tcW w:w="1236" w:type="dxa"/>
          </w:tcPr>
          <w:p w14:paraId="0FD29012" w14:textId="77777777" w:rsidR="00171C5D" w:rsidRDefault="00000000">
            <w:pPr>
              <w:keepNext/>
              <w:widowControl w:val="0"/>
              <w:spacing w:after="0" w:line="240" w:lineRule="auto"/>
              <w:jc w:val="center"/>
              <w:rPr>
                <w:b/>
                <w:sz w:val="20"/>
                <w:szCs w:val="20"/>
              </w:rPr>
            </w:pPr>
            <w:r>
              <w:rPr>
                <w:b/>
                <w:sz w:val="20"/>
                <w:szCs w:val="20"/>
              </w:rPr>
              <w:t>Category</w:t>
            </w:r>
          </w:p>
        </w:tc>
        <w:tc>
          <w:tcPr>
            <w:tcW w:w="1287" w:type="dxa"/>
          </w:tcPr>
          <w:p w14:paraId="1BEDBE1C" w14:textId="77777777" w:rsidR="00171C5D" w:rsidRDefault="00000000">
            <w:pPr>
              <w:keepNext/>
              <w:widowControl w:val="0"/>
              <w:spacing w:after="0" w:line="240" w:lineRule="auto"/>
              <w:jc w:val="center"/>
              <w:rPr>
                <w:b/>
                <w:sz w:val="20"/>
                <w:szCs w:val="20"/>
              </w:rPr>
            </w:pPr>
            <w:r>
              <w:rPr>
                <w:b/>
                <w:sz w:val="20"/>
                <w:szCs w:val="20"/>
              </w:rPr>
              <w:t>Geographic Area</w:t>
            </w:r>
          </w:p>
        </w:tc>
        <w:tc>
          <w:tcPr>
            <w:tcW w:w="1172" w:type="dxa"/>
          </w:tcPr>
          <w:p w14:paraId="0AA2FB29" w14:textId="77777777" w:rsidR="00171C5D" w:rsidRDefault="00000000">
            <w:pPr>
              <w:keepNext/>
              <w:widowControl w:val="0"/>
              <w:spacing w:after="0" w:line="240" w:lineRule="auto"/>
              <w:jc w:val="center"/>
              <w:rPr>
                <w:b/>
                <w:sz w:val="20"/>
                <w:szCs w:val="20"/>
              </w:rPr>
            </w:pPr>
            <w:r>
              <w:rPr>
                <w:b/>
                <w:sz w:val="20"/>
                <w:szCs w:val="20"/>
              </w:rPr>
              <w:t>Needs Addressed</w:t>
            </w:r>
          </w:p>
        </w:tc>
        <w:tc>
          <w:tcPr>
            <w:tcW w:w="2345" w:type="dxa"/>
          </w:tcPr>
          <w:p w14:paraId="298A1635" w14:textId="77777777" w:rsidR="00171C5D" w:rsidRDefault="00000000">
            <w:pPr>
              <w:keepNext/>
              <w:widowControl w:val="0"/>
              <w:spacing w:after="0" w:line="240" w:lineRule="auto"/>
              <w:jc w:val="center"/>
              <w:rPr>
                <w:b/>
                <w:sz w:val="20"/>
                <w:szCs w:val="20"/>
              </w:rPr>
            </w:pPr>
            <w:r>
              <w:rPr>
                <w:b/>
                <w:sz w:val="20"/>
                <w:szCs w:val="20"/>
              </w:rPr>
              <w:t>Funding</w:t>
            </w:r>
          </w:p>
        </w:tc>
        <w:tc>
          <w:tcPr>
            <w:tcW w:w="3283" w:type="dxa"/>
          </w:tcPr>
          <w:p w14:paraId="3182BF94" w14:textId="77777777" w:rsidR="00171C5D" w:rsidRDefault="00000000">
            <w:pPr>
              <w:keepNext/>
              <w:widowControl w:val="0"/>
              <w:spacing w:after="0" w:line="240" w:lineRule="auto"/>
              <w:jc w:val="center"/>
              <w:rPr>
                <w:b/>
                <w:sz w:val="20"/>
                <w:szCs w:val="20"/>
              </w:rPr>
            </w:pPr>
            <w:r>
              <w:rPr>
                <w:b/>
                <w:sz w:val="20"/>
                <w:szCs w:val="20"/>
              </w:rPr>
              <w:t>Goal Outcome Indicator</w:t>
            </w:r>
          </w:p>
        </w:tc>
      </w:tr>
      <w:tr w:rsidR="00171C5D" w14:paraId="0DC8B40E" w14:textId="77777777">
        <w:trPr>
          <w:cantSplit/>
        </w:trPr>
        <w:tc>
          <w:tcPr>
            <w:tcW w:w="0" w:type="auto"/>
          </w:tcPr>
          <w:p w14:paraId="0FF4A09B" w14:textId="77777777" w:rsidR="00171C5D" w:rsidRDefault="00000000">
            <w:pPr>
              <w:spacing w:beforeAutospacing="1" w:afterAutospacing="1"/>
            </w:pPr>
            <w:r>
              <w:rPr>
                <w:b/>
                <w:color w:val="000000"/>
              </w:rPr>
              <w:t>1</w:t>
            </w:r>
          </w:p>
        </w:tc>
        <w:tc>
          <w:tcPr>
            <w:tcW w:w="0" w:type="auto"/>
          </w:tcPr>
          <w:p w14:paraId="36C21F78" w14:textId="77777777" w:rsidR="00171C5D" w:rsidRDefault="00000000">
            <w:pPr>
              <w:spacing w:beforeAutospacing="1" w:afterAutospacing="1"/>
            </w:pPr>
            <w:r>
              <w:rPr>
                <w:color w:val="000000"/>
              </w:rPr>
              <w:t>Preserve and Increase Affordable Housing</w:t>
            </w:r>
          </w:p>
        </w:tc>
        <w:tc>
          <w:tcPr>
            <w:tcW w:w="0" w:type="auto"/>
          </w:tcPr>
          <w:p w14:paraId="503E0B2B" w14:textId="77777777" w:rsidR="00171C5D" w:rsidRDefault="00000000">
            <w:pPr>
              <w:spacing w:beforeAutospacing="1" w:afterAutospacing="1"/>
              <w:jc w:val="right"/>
            </w:pPr>
            <w:r>
              <w:rPr>
                <w:color w:val="000000"/>
              </w:rPr>
              <w:t>2025</w:t>
            </w:r>
          </w:p>
        </w:tc>
        <w:tc>
          <w:tcPr>
            <w:tcW w:w="0" w:type="auto"/>
          </w:tcPr>
          <w:p w14:paraId="773F62E2" w14:textId="77777777" w:rsidR="00171C5D" w:rsidRDefault="00000000">
            <w:pPr>
              <w:spacing w:beforeAutospacing="1" w:afterAutospacing="1"/>
              <w:jc w:val="right"/>
            </w:pPr>
            <w:r>
              <w:rPr>
                <w:color w:val="000000"/>
              </w:rPr>
              <w:t>2029</w:t>
            </w:r>
          </w:p>
        </w:tc>
        <w:tc>
          <w:tcPr>
            <w:tcW w:w="0" w:type="auto"/>
          </w:tcPr>
          <w:p w14:paraId="55C17861" w14:textId="77777777" w:rsidR="00171C5D" w:rsidRDefault="00000000">
            <w:pPr>
              <w:spacing w:beforeAutospacing="1" w:afterAutospacing="1"/>
            </w:pPr>
            <w:r>
              <w:rPr>
                <w:color w:val="000000"/>
              </w:rPr>
              <w:t>Affordable Housing</w:t>
            </w:r>
            <w:r>
              <w:rPr>
                <w:color w:val="000000"/>
              </w:rPr>
              <w:br/>
              <w:t>Public Housing</w:t>
            </w:r>
            <w:r>
              <w:rPr>
                <w:color w:val="000000"/>
              </w:rPr>
              <w:br/>
              <w:t>Homeless</w:t>
            </w:r>
            <w:r>
              <w:rPr>
                <w:color w:val="000000"/>
              </w:rPr>
              <w:br/>
              <w:t>Non-Homeless Special Needs</w:t>
            </w:r>
          </w:p>
        </w:tc>
        <w:tc>
          <w:tcPr>
            <w:tcW w:w="0" w:type="auto"/>
          </w:tcPr>
          <w:p w14:paraId="7A33F9E0" w14:textId="77777777" w:rsidR="00171C5D" w:rsidRDefault="00000000">
            <w:pPr>
              <w:spacing w:beforeAutospacing="1" w:afterAutospacing="1"/>
            </w:pPr>
            <w:r>
              <w:rPr>
                <w:color w:val="000000"/>
              </w:rPr>
              <w:t>City Wide</w:t>
            </w:r>
          </w:p>
        </w:tc>
        <w:tc>
          <w:tcPr>
            <w:tcW w:w="0" w:type="auto"/>
          </w:tcPr>
          <w:p w14:paraId="37060202" w14:textId="77777777" w:rsidR="00171C5D" w:rsidRDefault="00000000">
            <w:pPr>
              <w:spacing w:beforeAutospacing="1" w:afterAutospacing="1"/>
            </w:pPr>
            <w:r>
              <w:rPr>
                <w:color w:val="000000"/>
              </w:rPr>
              <w:t>Preserve and Increase Affordable Housing</w:t>
            </w:r>
          </w:p>
        </w:tc>
        <w:tc>
          <w:tcPr>
            <w:tcW w:w="0" w:type="auto"/>
          </w:tcPr>
          <w:p w14:paraId="7C87D579" w14:textId="77777777" w:rsidR="00171C5D" w:rsidRDefault="00000000">
            <w:pPr>
              <w:spacing w:beforeAutospacing="1" w:afterAutospacing="1"/>
              <w:jc w:val="right"/>
            </w:pPr>
            <w:r>
              <w:rPr>
                <w:color w:val="000000"/>
              </w:rPr>
              <w:t>CDBG: $9,012,062.00</w:t>
            </w:r>
            <w:r>
              <w:rPr>
                <w:color w:val="000000"/>
              </w:rPr>
              <w:br/>
              <w:t>HOME: $750,000.00</w:t>
            </w:r>
            <w:r>
              <w:rPr>
                <w:color w:val="000000"/>
              </w:rPr>
              <w:br/>
              <w:t>LIHTC: $59,854,633.00</w:t>
            </w:r>
            <w:r>
              <w:rPr>
                <w:color w:val="000000"/>
              </w:rPr>
              <w:br/>
              <w:t>Local funds: $17,050,000.00</w:t>
            </w:r>
            <w:r>
              <w:rPr>
                <w:color w:val="000000"/>
              </w:rPr>
              <w:br/>
              <w:t>Other Federal Funds: $42,909,927.00</w:t>
            </w:r>
            <w:r>
              <w:rPr>
                <w:color w:val="000000"/>
              </w:rPr>
              <w:br/>
              <w:t>Private funds: $22,566,651.00</w:t>
            </w:r>
            <w:r>
              <w:rPr>
                <w:color w:val="000000"/>
              </w:rPr>
              <w:br/>
              <w:t>State funds: $18,185,082.00</w:t>
            </w:r>
          </w:p>
        </w:tc>
        <w:tc>
          <w:tcPr>
            <w:tcW w:w="0" w:type="auto"/>
          </w:tcPr>
          <w:p w14:paraId="02157F7E" w14:textId="77777777" w:rsidR="00171C5D" w:rsidRDefault="00000000">
            <w:pPr>
              <w:spacing w:beforeAutospacing="1" w:afterAutospacing="1"/>
            </w:pPr>
            <w:r>
              <w:rPr>
                <w:color w:val="000000"/>
              </w:rPr>
              <w:t>Public service activities for Low/Moderate Income Housing Benefit: 3890 Households Assisted</w:t>
            </w:r>
            <w:r>
              <w:rPr>
                <w:color w:val="000000"/>
              </w:rPr>
              <w:br/>
              <w:t>Rental units constructed: 321 Household Housing Unit</w:t>
            </w:r>
            <w:r>
              <w:rPr>
                <w:color w:val="000000"/>
              </w:rPr>
              <w:br/>
              <w:t>Rental units rehabilitated: 5 Household Housing Unit</w:t>
            </w:r>
            <w:r>
              <w:rPr>
                <w:color w:val="000000"/>
              </w:rPr>
              <w:br/>
              <w:t>Homeowner Housing Added: 13 Household Housing Unit</w:t>
            </w:r>
            <w:r>
              <w:rPr>
                <w:color w:val="000000"/>
              </w:rPr>
              <w:br/>
              <w:t>Homeowner Housing Rehabilitated: 532 Household Housing Unit</w:t>
            </w:r>
            <w:r>
              <w:rPr>
                <w:color w:val="000000"/>
              </w:rPr>
              <w:br/>
              <w:t>Direct Financial Assistance to Homebuyers: 170 Households Assisted</w:t>
            </w:r>
          </w:p>
        </w:tc>
      </w:tr>
      <w:tr w:rsidR="00171C5D" w14:paraId="501C78D4" w14:textId="77777777">
        <w:trPr>
          <w:cantSplit/>
        </w:trPr>
        <w:tc>
          <w:tcPr>
            <w:tcW w:w="0" w:type="auto"/>
          </w:tcPr>
          <w:p w14:paraId="67B0482A" w14:textId="77777777" w:rsidR="00171C5D" w:rsidRDefault="00000000">
            <w:pPr>
              <w:spacing w:beforeAutospacing="1" w:afterAutospacing="1"/>
            </w:pPr>
            <w:r>
              <w:rPr>
                <w:b/>
                <w:color w:val="000000"/>
              </w:rPr>
              <w:lastRenderedPageBreak/>
              <w:t>2</w:t>
            </w:r>
          </w:p>
        </w:tc>
        <w:tc>
          <w:tcPr>
            <w:tcW w:w="0" w:type="auto"/>
          </w:tcPr>
          <w:p w14:paraId="70CD643F" w14:textId="77777777" w:rsidR="00171C5D" w:rsidRDefault="00000000">
            <w:pPr>
              <w:spacing w:beforeAutospacing="1" w:afterAutospacing="1"/>
            </w:pPr>
            <w:r>
              <w:rPr>
                <w:color w:val="000000"/>
              </w:rPr>
              <w:t>Housing and Assistance for homeless people</w:t>
            </w:r>
          </w:p>
        </w:tc>
        <w:tc>
          <w:tcPr>
            <w:tcW w:w="0" w:type="auto"/>
          </w:tcPr>
          <w:p w14:paraId="128BC1CC" w14:textId="77777777" w:rsidR="00171C5D" w:rsidRDefault="00000000">
            <w:pPr>
              <w:spacing w:beforeAutospacing="1" w:afterAutospacing="1"/>
              <w:jc w:val="right"/>
            </w:pPr>
            <w:r>
              <w:rPr>
                <w:color w:val="000000"/>
              </w:rPr>
              <w:t>2025</w:t>
            </w:r>
          </w:p>
        </w:tc>
        <w:tc>
          <w:tcPr>
            <w:tcW w:w="0" w:type="auto"/>
          </w:tcPr>
          <w:p w14:paraId="16965ACC" w14:textId="77777777" w:rsidR="00171C5D" w:rsidRDefault="00000000">
            <w:pPr>
              <w:spacing w:beforeAutospacing="1" w:afterAutospacing="1"/>
              <w:jc w:val="right"/>
            </w:pPr>
            <w:r>
              <w:rPr>
                <w:color w:val="000000"/>
              </w:rPr>
              <w:t>2029</w:t>
            </w:r>
          </w:p>
        </w:tc>
        <w:tc>
          <w:tcPr>
            <w:tcW w:w="0" w:type="auto"/>
          </w:tcPr>
          <w:p w14:paraId="2125F39E" w14:textId="77777777" w:rsidR="00171C5D" w:rsidRDefault="00000000">
            <w:pPr>
              <w:spacing w:beforeAutospacing="1" w:afterAutospacing="1"/>
            </w:pPr>
            <w:r>
              <w:rPr>
                <w:color w:val="000000"/>
              </w:rPr>
              <w:t>Homeless</w:t>
            </w:r>
          </w:p>
        </w:tc>
        <w:tc>
          <w:tcPr>
            <w:tcW w:w="0" w:type="auto"/>
          </w:tcPr>
          <w:p w14:paraId="47FFAE05" w14:textId="77777777" w:rsidR="00171C5D" w:rsidRDefault="00000000">
            <w:pPr>
              <w:spacing w:beforeAutospacing="1" w:afterAutospacing="1"/>
            </w:pPr>
            <w:r>
              <w:rPr>
                <w:color w:val="000000"/>
              </w:rPr>
              <w:t>City Wide</w:t>
            </w:r>
          </w:p>
        </w:tc>
        <w:tc>
          <w:tcPr>
            <w:tcW w:w="0" w:type="auto"/>
          </w:tcPr>
          <w:p w14:paraId="36C3C371" w14:textId="77777777" w:rsidR="00171C5D" w:rsidRDefault="00000000">
            <w:pPr>
              <w:spacing w:beforeAutospacing="1" w:afterAutospacing="1"/>
            </w:pPr>
            <w:r>
              <w:rPr>
                <w:color w:val="000000"/>
              </w:rPr>
              <w:t>Housing &amp; Services to Homeless</w:t>
            </w:r>
          </w:p>
        </w:tc>
        <w:tc>
          <w:tcPr>
            <w:tcW w:w="0" w:type="auto"/>
          </w:tcPr>
          <w:p w14:paraId="0F2DA6C9" w14:textId="77777777" w:rsidR="00171C5D" w:rsidRDefault="00000000">
            <w:pPr>
              <w:spacing w:beforeAutospacing="1" w:afterAutospacing="1"/>
              <w:jc w:val="right"/>
            </w:pPr>
            <w:r>
              <w:rPr>
                <w:color w:val="000000"/>
              </w:rPr>
              <w:t>CDBG: $458,109.00</w:t>
            </w:r>
            <w:r>
              <w:rPr>
                <w:color w:val="000000"/>
              </w:rPr>
              <w:br/>
              <w:t>ESG: $1,650,618.00</w:t>
            </w:r>
            <w:r>
              <w:rPr>
                <w:color w:val="000000"/>
              </w:rPr>
              <w:br/>
              <w:t>Local funds: $13,657,617.00</w:t>
            </w:r>
            <w:r>
              <w:rPr>
                <w:color w:val="000000"/>
              </w:rPr>
              <w:br/>
              <w:t>Other Federal Funds: $2,196,572.00</w:t>
            </w:r>
            <w:r>
              <w:rPr>
                <w:color w:val="000000"/>
              </w:rPr>
              <w:br/>
              <w:t>Private funds: $1,019,966.00</w:t>
            </w:r>
            <w:r>
              <w:rPr>
                <w:color w:val="000000"/>
              </w:rPr>
              <w:br/>
              <w:t>State funds: $1,550,684.00</w:t>
            </w:r>
          </w:p>
        </w:tc>
        <w:tc>
          <w:tcPr>
            <w:tcW w:w="0" w:type="auto"/>
          </w:tcPr>
          <w:p w14:paraId="6564339A" w14:textId="77777777" w:rsidR="00171C5D" w:rsidRDefault="00000000">
            <w:pPr>
              <w:spacing w:beforeAutospacing="1" w:afterAutospacing="1"/>
            </w:pPr>
            <w:r>
              <w:rPr>
                <w:color w:val="000000"/>
              </w:rPr>
              <w:t>Public service activities for Low/Moderate Income Housing Benefit: 1775 Households Assisted</w:t>
            </w:r>
            <w:r>
              <w:rPr>
                <w:color w:val="000000"/>
              </w:rPr>
              <w:br/>
              <w:t>Homeless Person Overnight Shelter: 762 Persons Assisted</w:t>
            </w:r>
            <w:r>
              <w:rPr>
                <w:color w:val="000000"/>
              </w:rPr>
              <w:br/>
              <w:t>Homelessness Prevention: 420 Persons Assisted</w:t>
            </w:r>
            <w:r>
              <w:rPr>
                <w:color w:val="000000"/>
              </w:rPr>
              <w:br/>
              <w:t>HIV/AIDS Housing Operations: 370 Household Housing Unit</w:t>
            </w:r>
          </w:p>
        </w:tc>
      </w:tr>
      <w:tr w:rsidR="00171C5D" w14:paraId="20D589BF" w14:textId="77777777">
        <w:trPr>
          <w:cantSplit/>
        </w:trPr>
        <w:tc>
          <w:tcPr>
            <w:tcW w:w="0" w:type="auto"/>
          </w:tcPr>
          <w:p w14:paraId="6F544DB5" w14:textId="77777777" w:rsidR="00171C5D" w:rsidRDefault="00000000">
            <w:pPr>
              <w:spacing w:beforeAutospacing="1" w:afterAutospacing="1"/>
            </w:pPr>
            <w:r>
              <w:rPr>
                <w:b/>
                <w:color w:val="000000"/>
              </w:rPr>
              <w:t>3</w:t>
            </w:r>
          </w:p>
        </w:tc>
        <w:tc>
          <w:tcPr>
            <w:tcW w:w="0" w:type="auto"/>
          </w:tcPr>
          <w:p w14:paraId="1035F9CA" w14:textId="77777777" w:rsidR="00171C5D" w:rsidRDefault="00000000">
            <w:pPr>
              <w:spacing w:beforeAutospacing="1" w:afterAutospacing="1"/>
            </w:pPr>
            <w:r>
              <w:rPr>
                <w:color w:val="000000"/>
              </w:rPr>
              <w:t>Support Vital Supportive Services</w:t>
            </w:r>
          </w:p>
        </w:tc>
        <w:tc>
          <w:tcPr>
            <w:tcW w:w="0" w:type="auto"/>
          </w:tcPr>
          <w:p w14:paraId="01BC768E" w14:textId="77777777" w:rsidR="00171C5D" w:rsidRDefault="00000000">
            <w:pPr>
              <w:spacing w:beforeAutospacing="1" w:afterAutospacing="1"/>
              <w:jc w:val="right"/>
            </w:pPr>
            <w:r>
              <w:rPr>
                <w:color w:val="000000"/>
              </w:rPr>
              <w:t>2025</w:t>
            </w:r>
          </w:p>
        </w:tc>
        <w:tc>
          <w:tcPr>
            <w:tcW w:w="0" w:type="auto"/>
          </w:tcPr>
          <w:p w14:paraId="361CD398" w14:textId="77777777" w:rsidR="00171C5D" w:rsidRDefault="00000000">
            <w:pPr>
              <w:spacing w:beforeAutospacing="1" w:afterAutospacing="1"/>
              <w:jc w:val="right"/>
            </w:pPr>
            <w:r>
              <w:rPr>
                <w:color w:val="000000"/>
              </w:rPr>
              <w:t>2029</w:t>
            </w:r>
          </w:p>
        </w:tc>
        <w:tc>
          <w:tcPr>
            <w:tcW w:w="0" w:type="auto"/>
          </w:tcPr>
          <w:p w14:paraId="0AEE35EE" w14:textId="77777777" w:rsidR="00171C5D" w:rsidRDefault="00000000">
            <w:pPr>
              <w:spacing w:beforeAutospacing="1" w:afterAutospacing="1"/>
            </w:pPr>
            <w:r>
              <w:rPr>
                <w:color w:val="000000"/>
              </w:rPr>
              <w:t>Non-Housing Community Development</w:t>
            </w:r>
          </w:p>
        </w:tc>
        <w:tc>
          <w:tcPr>
            <w:tcW w:w="0" w:type="auto"/>
          </w:tcPr>
          <w:p w14:paraId="6F97AF6B" w14:textId="77777777" w:rsidR="00171C5D" w:rsidRDefault="00000000">
            <w:pPr>
              <w:spacing w:beforeAutospacing="1" w:afterAutospacing="1"/>
            </w:pPr>
            <w:r>
              <w:rPr>
                <w:color w:val="000000"/>
              </w:rPr>
              <w:t>City Wide</w:t>
            </w:r>
            <w:r>
              <w:rPr>
                <w:color w:val="000000"/>
              </w:rPr>
              <w:br/>
              <w:t xml:space="preserve">Low </w:t>
            </w:r>
            <w:proofErr w:type="gramStart"/>
            <w:r>
              <w:rPr>
                <w:color w:val="000000"/>
              </w:rPr>
              <w:t>Moderate Income</w:t>
            </w:r>
            <w:proofErr w:type="gramEnd"/>
            <w:r>
              <w:rPr>
                <w:color w:val="000000"/>
              </w:rPr>
              <w:t xml:space="preserve"> Areas</w:t>
            </w:r>
            <w:r>
              <w:rPr>
                <w:color w:val="000000"/>
              </w:rPr>
              <w:br/>
              <w:t>Vacancy Reduction Priority Geographies</w:t>
            </w:r>
          </w:p>
        </w:tc>
        <w:tc>
          <w:tcPr>
            <w:tcW w:w="0" w:type="auto"/>
          </w:tcPr>
          <w:p w14:paraId="29319269" w14:textId="77777777" w:rsidR="00171C5D" w:rsidRDefault="00000000">
            <w:pPr>
              <w:spacing w:beforeAutospacing="1" w:afterAutospacing="1"/>
            </w:pPr>
            <w:r>
              <w:rPr>
                <w:color w:val="000000"/>
              </w:rPr>
              <w:t>Vital Social, Econ. &amp; Comm. Development Services</w:t>
            </w:r>
          </w:p>
        </w:tc>
        <w:tc>
          <w:tcPr>
            <w:tcW w:w="0" w:type="auto"/>
          </w:tcPr>
          <w:p w14:paraId="6DCA8768" w14:textId="77777777" w:rsidR="00171C5D" w:rsidRDefault="00000000">
            <w:pPr>
              <w:spacing w:beforeAutospacing="1" w:afterAutospacing="1"/>
              <w:jc w:val="right"/>
            </w:pPr>
            <w:r>
              <w:rPr>
                <w:color w:val="000000"/>
              </w:rPr>
              <w:t>CDBG: $4,024,866.00</w:t>
            </w:r>
            <w:r>
              <w:rPr>
                <w:color w:val="000000"/>
              </w:rPr>
              <w:br/>
              <w:t>Local funds: $1,477,001.00</w:t>
            </w:r>
            <w:r>
              <w:rPr>
                <w:color w:val="000000"/>
              </w:rPr>
              <w:br/>
              <w:t>Other Federal Funds: $6,044,757.00</w:t>
            </w:r>
            <w:r>
              <w:rPr>
                <w:color w:val="000000"/>
              </w:rPr>
              <w:br/>
              <w:t>Private funds: $10,106,851.00</w:t>
            </w:r>
            <w:r>
              <w:rPr>
                <w:color w:val="000000"/>
              </w:rPr>
              <w:br/>
              <w:t>State funds: $4,132,587.00</w:t>
            </w:r>
          </w:p>
        </w:tc>
        <w:tc>
          <w:tcPr>
            <w:tcW w:w="0" w:type="auto"/>
          </w:tcPr>
          <w:p w14:paraId="0DB982A4" w14:textId="77777777" w:rsidR="00171C5D" w:rsidRDefault="00000000">
            <w:pPr>
              <w:spacing w:beforeAutospacing="1" w:afterAutospacing="1"/>
            </w:pPr>
            <w:r>
              <w:rPr>
                <w:color w:val="000000"/>
              </w:rPr>
              <w:t>Public service activities other than Low/Moderate Income Housing Benefit: 159008 Persons Assisted</w:t>
            </w:r>
          </w:p>
        </w:tc>
      </w:tr>
      <w:tr w:rsidR="00171C5D" w14:paraId="6349D84A" w14:textId="77777777">
        <w:trPr>
          <w:cantSplit/>
        </w:trPr>
        <w:tc>
          <w:tcPr>
            <w:tcW w:w="0" w:type="auto"/>
          </w:tcPr>
          <w:p w14:paraId="3B1238C2" w14:textId="77777777" w:rsidR="00171C5D" w:rsidRDefault="00000000">
            <w:pPr>
              <w:spacing w:beforeAutospacing="1" w:afterAutospacing="1"/>
            </w:pPr>
            <w:r>
              <w:rPr>
                <w:b/>
                <w:color w:val="000000"/>
              </w:rPr>
              <w:lastRenderedPageBreak/>
              <w:t>4</w:t>
            </w:r>
          </w:p>
        </w:tc>
        <w:tc>
          <w:tcPr>
            <w:tcW w:w="0" w:type="auto"/>
          </w:tcPr>
          <w:p w14:paraId="4518322F" w14:textId="77777777" w:rsidR="00171C5D" w:rsidRDefault="00000000">
            <w:pPr>
              <w:spacing w:beforeAutospacing="1" w:afterAutospacing="1"/>
            </w:pPr>
            <w:r>
              <w:rPr>
                <w:color w:val="000000"/>
              </w:rPr>
              <w:t>Economic Development</w:t>
            </w:r>
          </w:p>
        </w:tc>
        <w:tc>
          <w:tcPr>
            <w:tcW w:w="0" w:type="auto"/>
          </w:tcPr>
          <w:p w14:paraId="4C4A0865" w14:textId="77777777" w:rsidR="00171C5D" w:rsidRDefault="00000000">
            <w:pPr>
              <w:spacing w:beforeAutospacing="1" w:afterAutospacing="1"/>
              <w:jc w:val="right"/>
            </w:pPr>
            <w:r>
              <w:rPr>
                <w:color w:val="000000"/>
              </w:rPr>
              <w:t>2025</w:t>
            </w:r>
          </w:p>
        </w:tc>
        <w:tc>
          <w:tcPr>
            <w:tcW w:w="0" w:type="auto"/>
          </w:tcPr>
          <w:p w14:paraId="4F30E3EE" w14:textId="77777777" w:rsidR="00171C5D" w:rsidRDefault="00000000">
            <w:pPr>
              <w:spacing w:beforeAutospacing="1" w:afterAutospacing="1"/>
              <w:jc w:val="right"/>
            </w:pPr>
            <w:r>
              <w:rPr>
                <w:color w:val="000000"/>
              </w:rPr>
              <w:t>2029</w:t>
            </w:r>
          </w:p>
        </w:tc>
        <w:tc>
          <w:tcPr>
            <w:tcW w:w="0" w:type="auto"/>
          </w:tcPr>
          <w:p w14:paraId="21A5081D" w14:textId="77777777" w:rsidR="00171C5D" w:rsidRDefault="00000000">
            <w:pPr>
              <w:spacing w:beforeAutospacing="1" w:afterAutospacing="1"/>
            </w:pPr>
            <w:r>
              <w:rPr>
                <w:color w:val="000000"/>
              </w:rPr>
              <w:t>Non-Housing Community Development</w:t>
            </w:r>
          </w:p>
        </w:tc>
        <w:tc>
          <w:tcPr>
            <w:tcW w:w="0" w:type="auto"/>
          </w:tcPr>
          <w:p w14:paraId="53351487" w14:textId="77777777" w:rsidR="00171C5D" w:rsidRDefault="00000000">
            <w:pPr>
              <w:spacing w:beforeAutospacing="1" w:afterAutospacing="1"/>
            </w:pPr>
            <w:r>
              <w:rPr>
                <w:color w:val="000000"/>
              </w:rPr>
              <w:t xml:space="preserve">Low </w:t>
            </w:r>
            <w:proofErr w:type="gramStart"/>
            <w:r>
              <w:rPr>
                <w:color w:val="000000"/>
              </w:rPr>
              <w:t>Moderate Income</w:t>
            </w:r>
            <w:proofErr w:type="gramEnd"/>
            <w:r>
              <w:rPr>
                <w:color w:val="000000"/>
              </w:rPr>
              <w:t xml:space="preserve"> Areas</w:t>
            </w:r>
            <w:r>
              <w:rPr>
                <w:color w:val="000000"/>
              </w:rPr>
              <w:br/>
              <w:t>Vacancy Reduction Priority Geographies</w:t>
            </w:r>
          </w:p>
        </w:tc>
        <w:tc>
          <w:tcPr>
            <w:tcW w:w="0" w:type="auto"/>
          </w:tcPr>
          <w:p w14:paraId="366170A3" w14:textId="77777777" w:rsidR="00171C5D" w:rsidRDefault="00000000">
            <w:pPr>
              <w:spacing w:beforeAutospacing="1" w:afterAutospacing="1"/>
            </w:pPr>
            <w:r>
              <w:rPr>
                <w:color w:val="000000"/>
              </w:rPr>
              <w:t>Vital Social, Econ. &amp; Comm. Development Services</w:t>
            </w:r>
          </w:p>
        </w:tc>
        <w:tc>
          <w:tcPr>
            <w:tcW w:w="0" w:type="auto"/>
          </w:tcPr>
          <w:p w14:paraId="532ADEC7" w14:textId="77777777" w:rsidR="00171C5D" w:rsidRDefault="00000000">
            <w:pPr>
              <w:spacing w:beforeAutospacing="1" w:afterAutospacing="1"/>
              <w:jc w:val="right"/>
            </w:pPr>
            <w:r>
              <w:rPr>
                <w:color w:val="000000"/>
              </w:rPr>
              <w:t>CDBG: $1,642,900.00</w:t>
            </w:r>
            <w:r>
              <w:rPr>
                <w:color w:val="000000"/>
              </w:rPr>
              <w:br/>
              <w:t>Local funds: $671,365.00</w:t>
            </w:r>
            <w:r>
              <w:rPr>
                <w:color w:val="000000"/>
              </w:rPr>
              <w:br/>
              <w:t>Other Federal Funds: $550,000.00</w:t>
            </w:r>
            <w:r>
              <w:rPr>
                <w:color w:val="000000"/>
              </w:rPr>
              <w:br/>
              <w:t>Private funds: $3,259,107.00</w:t>
            </w:r>
            <w:r>
              <w:rPr>
                <w:color w:val="000000"/>
              </w:rPr>
              <w:br/>
              <w:t>State funds: $2,591,805.00</w:t>
            </w:r>
          </w:p>
        </w:tc>
        <w:tc>
          <w:tcPr>
            <w:tcW w:w="0" w:type="auto"/>
          </w:tcPr>
          <w:p w14:paraId="2EB14FA9" w14:textId="77777777" w:rsidR="00171C5D" w:rsidRDefault="00000000">
            <w:pPr>
              <w:spacing w:beforeAutospacing="1" w:afterAutospacing="1"/>
            </w:pPr>
            <w:r>
              <w:rPr>
                <w:color w:val="000000"/>
              </w:rPr>
              <w:t>Public service activities other than Low/Moderate Income Housing Benefit: 3473 Persons Assisted</w:t>
            </w:r>
            <w:r>
              <w:rPr>
                <w:color w:val="000000"/>
              </w:rPr>
              <w:br/>
              <w:t>Businesses assisted: 212 Businesses Assisted</w:t>
            </w:r>
          </w:p>
        </w:tc>
      </w:tr>
      <w:tr w:rsidR="00171C5D" w14:paraId="02293CAB" w14:textId="77777777">
        <w:trPr>
          <w:cantSplit/>
        </w:trPr>
        <w:tc>
          <w:tcPr>
            <w:tcW w:w="0" w:type="auto"/>
          </w:tcPr>
          <w:p w14:paraId="22FB7D2E" w14:textId="77777777" w:rsidR="00171C5D" w:rsidRDefault="00000000">
            <w:pPr>
              <w:spacing w:beforeAutospacing="1" w:afterAutospacing="1"/>
            </w:pPr>
            <w:r>
              <w:rPr>
                <w:b/>
                <w:color w:val="000000"/>
              </w:rPr>
              <w:t>5</w:t>
            </w:r>
          </w:p>
        </w:tc>
        <w:tc>
          <w:tcPr>
            <w:tcW w:w="0" w:type="auto"/>
          </w:tcPr>
          <w:p w14:paraId="24FE0F93" w14:textId="77777777" w:rsidR="00171C5D" w:rsidRDefault="00000000">
            <w:pPr>
              <w:spacing w:beforeAutospacing="1" w:afterAutospacing="1"/>
            </w:pPr>
            <w:r>
              <w:rPr>
                <w:color w:val="000000"/>
              </w:rPr>
              <w:t>Property Improvement and Redevelopment</w:t>
            </w:r>
          </w:p>
        </w:tc>
        <w:tc>
          <w:tcPr>
            <w:tcW w:w="0" w:type="auto"/>
          </w:tcPr>
          <w:p w14:paraId="41A84747" w14:textId="77777777" w:rsidR="00171C5D" w:rsidRDefault="00000000">
            <w:pPr>
              <w:spacing w:beforeAutospacing="1" w:afterAutospacing="1"/>
              <w:jc w:val="right"/>
            </w:pPr>
            <w:r>
              <w:rPr>
                <w:color w:val="000000"/>
              </w:rPr>
              <w:t>2025</w:t>
            </w:r>
          </w:p>
        </w:tc>
        <w:tc>
          <w:tcPr>
            <w:tcW w:w="0" w:type="auto"/>
          </w:tcPr>
          <w:p w14:paraId="6FC35691" w14:textId="77777777" w:rsidR="00171C5D" w:rsidRDefault="00000000">
            <w:pPr>
              <w:spacing w:beforeAutospacing="1" w:afterAutospacing="1"/>
              <w:jc w:val="right"/>
            </w:pPr>
            <w:r>
              <w:rPr>
                <w:color w:val="000000"/>
              </w:rPr>
              <w:t>2029</w:t>
            </w:r>
          </w:p>
        </w:tc>
        <w:tc>
          <w:tcPr>
            <w:tcW w:w="0" w:type="auto"/>
          </w:tcPr>
          <w:p w14:paraId="33DCE878" w14:textId="77777777" w:rsidR="00171C5D" w:rsidRDefault="00000000">
            <w:pPr>
              <w:spacing w:beforeAutospacing="1" w:afterAutospacing="1"/>
            </w:pPr>
            <w:r>
              <w:rPr>
                <w:color w:val="000000"/>
              </w:rPr>
              <w:t>Affordable Housing</w:t>
            </w:r>
            <w:r>
              <w:rPr>
                <w:color w:val="000000"/>
              </w:rPr>
              <w:br/>
              <w:t>Non-Housing Community Development</w:t>
            </w:r>
          </w:p>
        </w:tc>
        <w:tc>
          <w:tcPr>
            <w:tcW w:w="0" w:type="auto"/>
          </w:tcPr>
          <w:p w14:paraId="3CCF1DBC" w14:textId="77777777" w:rsidR="00171C5D" w:rsidRDefault="00000000">
            <w:pPr>
              <w:spacing w:beforeAutospacing="1" w:afterAutospacing="1"/>
            </w:pPr>
            <w:r>
              <w:rPr>
                <w:color w:val="000000"/>
              </w:rPr>
              <w:t xml:space="preserve">Low </w:t>
            </w:r>
            <w:proofErr w:type="gramStart"/>
            <w:r>
              <w:rPr>
                <w:color w:val="000000"/>
              </w:rPr>
              <w:t>Moderate Income</w:t>
            </w:r>
            <w:proofErr w:type="gramEnd"/>
            <w:r>
              <w:rPr>
                <w:color w:val="000000"/>
              </w:rPr>
              <w:t xml:space="preserve"> Areas</w:t>
            </w:r>
            <w:r>
              <w:rPr>
                <w:color w:val="000000"/>
              </w:rPr>
              <w:br/>
              <w:t>Special Code Enforcement Areas</w:t>
            </w:r>
            <w:r>
              <w:rPr>
                <w:color w:val="000000"/>
              </w:rPr>
              <w:br/>
              <w:t>Strategic Demolition Areas</w:t>
            </w:r>
            <w:r>
              <w:rPr>
                <w:color w:val="000000"/>
              </w:rPr>
              <w:br/>
              <w:t>Vacancy Reduction Priority Geographies</w:t>
            </w:r>
          </w:p>
        </w:tc>
        <w:tc>
          <w:tcPr>
            <w:tcW w:w="0" w:type="auto"/>
          </w:tcPr>
          <w:p w14:paraId="70B47C7A" w14:textId="77777777" w:rsidR="00171C5D" w:rsidRDefault="00000000">
            <w:pPr>
              <w:spacing w:beforeAutospacing="1" w:afterAutospacing="1"/>
            </w:pPr>
            <w:r>
              <w:rPr>
                <w:color w:val="000000"/>
              </w:rPr>
              <w:t>Strategic Property Change</w:t>
            </w:r>
          </w:p>
        </w:tc>
        <w:tc>
          <w:tcPr>
            <w:tcW w:w="0" w:type="auto"/>
          </w:tcPr>
          <w:p w14:paraId="57184396" w14:textId="77777777" w:rsidR="00171C5D" w:rsidRDefault="00000000">
            <w:pPr>
              <w:spacing w:beforeAutospacing="1" w:afterAutospacing="1"/>
              <w:jc w:val="right"/>
            </w:pPr>
            <w:r>
              <w:rPr>
                <w:color w:val="000000"/>
              </w:rPr>
              <w:t>CDBG: $5,783,808.00</w:t>
            </w:r>
            <w:r>
              <w:rPr>
                <w:color w:val="000000"/>
              </w:rPr>
              <w:br/>
              <w:t>Local funds: $224,580.00</w:t>
            </w:r>
            <w:r>
              <w:rPr>
                <w:color w:val="000000"/>
              </w:rPr>
              <w:br/>
              <w:t>Private funds: $895,167.00</w:t>
            </w:r>
            <w:r>
              <w:rPr>
                <w:color w:val="000000"/>
              </w:rPr>
              <w:br/>
              <w:t>State funds: $300,200,000.00</w:t>
            </w:r>
          </w:p>
        </w:tc>
        <w:tc>
          <w:tcPr>
            <w:tcW w:w="0" w:type="auto"/>
          </w:tcPr>
          <w:p w14:paraId="58E5C7A7" w14:textId="77777777" w:rsidR="00171C5D" w:rsidRDefault="00000000">
            <w:pPr>
              <w:spacing w:beforeAutospacing="1" w:afterAutospacing="1"/>
            </w:pPr>
            <w:r>
              <w:rPr>
                <w:color w:val="000000"/>
              </w:rPr>
              <w:t>Public Facility or Infrastructure Activities other than Low/Moderate Income Housing Benefit: 36 Persons Assisted</w:t>
            </w:r>
            <w:r>
              <w:rPr>
                <w:color w:val="000000"/>
              </w:rPr>
              <w:br/>
              <w:t>Buildings Demolished: 20 Buildings</w:t>
            </w:r>
            <w:r>
              <w:rPr>
                <w:color w:val="000000"/>
              </w:rPr>
              <w:br/>
              <w:t>Housing Code Enforcement/Foreclosed Property Care: 23870 Household Housing Unit</w:t>
            </w:r>
          </w:p>
        </w:tc>
      </w:tr>
      <w:tr w:rsidR="00171C5D" w14:paraId="5570CD3E" w14:textId="77777777">
        <w:trPr>
          <w:cantSplit/>
        </w:trPr>
        <w:tc>
          <w:tcPr>
            <w:tcW w:w="0" w:type="auto"/>
          </w:tcPr>
          <w:p w14:paraId="03092E49" w14:textId="77777777" w:rsidR="00171C5D" w:rsidRDefault="00000000">
            <w:pPr>
              <w:spacing w:beforeAutospacing="1" w:afterAutospacing="1"/>
            </w:pPr>
            <w:r>
              <w:rPr>
                <w:b/>
                <w:color w:val="000000"/>
              </w:rPr>
              <w:lastRenderedPageBreak/>
              <w:t>6</w:t>
            </w:r>
          </w:p>
        </w:tc>
        <w:tc>
          <w:tcPr>
            <w:tcW w:w="0" w:type="auto"/>
          </w:tcPr>
          <w:p w14:paraId="124168E9" w14:textId="77777777" w:rsidR="00171C5D" w:rsidRDefault="00000000">
            <w:pPr>
              <w:spacing w:beforeAutospacing="1" w:afterAutospacing="1"/>
            </w:pPr>
            <w:r>
              <w:rPr>
                <w:color w:val="000000"/>
              </w:rPr>
              <w:t>Research, Planning, and Oversight of Form. Funds</w:t>
            </w:r>
          </w:p>
        </w:tc>
        <w:tc>
          <w:tcPr>
            <w:tcW w:w="0" w:type="auto"/>
          </w:tcPr>
          <w:p w14:paraId="72627A91" w14:textId="77777777" w:rsidR="00171C5D" w:rsidRDefault="00000000">
            <w:pPr>
              <w:spacing w:beforeAutospacing="1" w:afterAutospacing="1"/>
              <w:jc w:val="right"/>
            </w:pPr>
            <w:r>
              <w:rPr>
                <w:color w:val="000000"/>
              </w:rPr>
              <w:t>2025</w:t>
            </w:r>
          </w:p>
        </w:tc>
        <w:tc>
          <w:tcPr>
            <w:tcW w:w="0" w:type="auto"/>
          </w:tcPr>
          <w:p w14:paraId="470513A4" w14:textId="77777777" w:rsidR="00171C5D" w:rsidRDefault="00000000">
            <w:pPr>
              <w:spacing w:beforeAutospacing="1" w:afterAutospacing="1"/>
              <w:jc w:val="right"/>
            </w:pPr>
            <w:r>
              <w:rPr>
                <w:color w:val="000000"/>
              </w:rPr>
              <w:t>2029</w:t>
            </w:r>
          </w:p>
        </w:tc>
        <w:tc>
          <w:tcPr>
            <w:tcW w:w="0" w:type="auto"/>
          </w:tcPr>
          <w:p w14:paraId="28CF51DF" w14:textId="77777777" w:rsidR="00171C5D" w:rsidRDefault="00000000">
            <w:pPr>
              <w:spacing w:beforeAutospacing="1" w:afterAutospacing="1"/>
            </w:pPr>
            <w:r>
              <w:rPr>
                <w:color w:val="000000"/>
              </w:rPr>
              <w:t>Federal Funds Oversight</w:t>
            </w:r>
          </w:p>
        </w:tc>
        <w:tc>
          <w:tcPr>
            <w:tcW w:w="0" w:type="auto"/>
          </w:tcPr>
          <w:p w14:paraId="3484A2F1" w14:textId="77777777" w:rsidR="00171C5D" w:rsidRDefault="00000000">
            <w:pPr>
              <w:spacing w:beforeAutospacing="1" w:afterAutospacing="1"/>
            </w:pPr>
            <w:r>
              <w:rPr>
                <w:color w:val="000000"/>
              </w:rPr>
              <w:t>City Wide</w:t>
            </w:r>
          </w:p>
        </w:tc>
        <w:tc>
          <w:tcPr>
            <w:tcW w:w="0" w:type="auto"/>
          </w:tcPr>
          <w:p w14:paraId="5F6BC39A" w14:textId="77777777" w:rsidR="00171C5D" w:rsidRDefault="00000000">
            <w:pPr>
              <w:spacing w:beforeAutospacing="1" w:afterAutospacing="1"/>
            </w:pPr>
            <w:r>
              <w:rPr>
                <w:color w:val="000000"/>
              </w:rPr>
              <w:t>Effective and Efficient Planning &amp; Administration</w:t>
            </w:r>
          </w:p>
        </w:tc>
        <w:tc>
          <w:tcPr>
            <w:tcW w:w="0" w:type="auto"/>
          </w:tcPr>
          <w:p w14:paraId="443BD2CC" w14:textId="77777777" w:rsidR="00171C5D" w:rsidRDefault="00000000">
            <w:pPr>
              <w:spacing w:beforeAutospacing="1" w:afterAutospacing="1"/>
              <w:jc w:val="right"/>
            </w:pPr>
            <w:r>
              <w:rPr>
                <w:color w:val="000000"/>
              </w:rPr>
              <w:t>CDBG: $4,127,999.00</w:t>
            </w:r>
            <w:r>
              <w:rPr>
                <w:color w:val="000000"/>
              </w:rPr>
              <w:br/>
              <w:t>HOPWA: $211,978.00</w:t>
            </w:r>
            <w:r>
              <w:rPr>
                <w:color w:val="000000"/>
              </w:rPr>
              <w:br/>
              <w:t>HOME: $966,522.00</w:t>
            </w:r>
            <w:r>
              <w:rPr>
                <w:color w:val="000000"/>
              </w:rPr>
              <w:br/>
              <w:t>ESG: $123,796.00</w:t>
            </w:r>
          </w:p>
        </w:tc>
        <w:tc>
          <w:tcPr>
            <w:tcW w:w="0" w:type="auto"/>
          </w:tcPr>
          <w:p w14:paraId="4612AC82" w14:textId="77777777" w:rsidR="00171C5D" w:rsidRDefault="00000000">
            <w:pPr>
              <w:spacing w:beforeAutospacing="1" w:afterAutospacing="1"/>
            </w:pPr>
            <w:r>
              <w:rPr>
                <w:color w:val="000000"/>
              </w:rPr>
              <w:t>Other: 10 Other</w:t>
            </w:r>
          </w:p>
        </w:tc>
      </w:tr>
    </w:tbl>
    <w:p w14:paraId="637EB171" w14:textId="77777777" w:rsidR="00171C5D"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0E6A27CD" w14:textId="77777777" w:rsidR="00171C5D" w:rsidRDefault="00171C5D"/>
    <w:p w14:paraId="19859E98" w14:textId="77777777" w:rsidR="00171C5D" w:rsidRDefault="00000000">
      <w:pPr>
        <w:rPr>
          <w:b/>
          <w:sz w:val="24"/>
          <w:szCs w:val="24"/>
        </w:rPr>
      </w:pPr>
      <w:r>
        <w:rPr>
          <w:b/>
          <w:sz w:val="24"/>
          <w:szCs w:val="24"/>
        </w:rPr>
        <w:t>Goal Descriptions</w:t>
      </w:r>
    </w:p>
    <w:p w14:paraId="3621ECC2" w14:textId="77777777" w:rsidR="00171C5D" w:rsidRDefault="00171C5D">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46"/>
        <w:gridCol w:w="11176"/>
      </w:tblGrid>
      <w:tr w:rsidR="00171C5D" w14:paraId="3DCBD06D" w14:textId="77777777">
        <w:trPr>
          <w:cantSplit/>
        </w:trPr>
        <w:tc>
          <w:tcPr>
            <w:tcW w:w="0" w:type="auto"/>
            <w:vMerge w:val="restart"/>
          </w:tcPr>
          <w:p w14:paraId="4E84A984" w14:textId="77777777" w:rsidR="00171C5D" w:rsidRDefault="00000000">
            <w:pPr>
              <w:keepNext/>
              <w:spacing w:before="100" w:after="0"/>
            </w:pPr>
            <w:r>
              <w:rPr>
                <w:b/>
                <w:color w:val="000000"/>
              </w:rPr>
              <w:t>1</w:t>
            </w:r>
          </w:p>
        </w:tc>
        <w:tc>
          <w:tcPr>
            <w:tcW w:w="0" w:type="auto"/>
          </w:tcPr>
          <w:p w14:paraId="5267FB07" w14:textId="77777777" w:rsidR="00171C5D" w:rsidRDefault="00000000">
            <w:pPr>
              <w:keepNext/>
              <w:spacing w:before="100" w:after="0"/>
              <w:rPr>
                <w:b/>
              </w:rPr>
            </w:pPr>
            <w:r>
              <w:rPr>
                <w:b/>
              </w:rPr>
              <w:t>Goal Name</w:t>
            </w:r>
          </w:p>
        </w:tc>
        <w:tc>
          <w:tcPr>
            <w:tcW w:w="0" w:type="auto"/>
          </w:tcPr>
          <w:p w14:paraId="7A161FB8" w14:textId="77777777" w:rsidR="00171C5D" w:rsidRDefault="00000000">
            <w:pPr>
              <w:spacing w:before="100" w:after="0"/>
            </w:pPr>
            <w:r>
              <w:rPr>
                <w:color w:val="000000"/>
              </w:rPr>
              <w:t>Preserve and Increase Affordable Housing</w:t>
            </w:r>
          </w:p>
        </w:tc>
      </w:tr>
      <w:tr w:rsidR="00171C5D" w14:paraId="0D3DC9E6" w14:textId="77777777">
        <w:trPr>
          <w:cantSplit/>
        </w:trPr>
        <w:tc>
          <w:tcPr>
            <w:tcW w:w="0" w:type="auto"/>
            <w:vMerge/>
          </w:tcPr>
          <w:p w14:paraId="4F07C5BB" w14:textId="77777777" w:rsidR="00171C5D" w:rsidRDefault="00171C5D"/>
        </w:tc>
        <w:tc>
          <w:tcPr>
            <w:tcW w:w="0" w:type="auto"/>
          </w:tcPr>
          <w:p w14:paraId="7839727E" w14:textId="77777777" w:rsidR="00171C5D" w:rsidRDefault="00000000">
            <w:pPr>
              <w:keepNext/>
              <w:spacing w:before="100" w:after="0"/>
              <w:rPr>
                <w:b/>
              </w:rPr>
            </w:pPr>
            <w:r>
              <w:rPr>
                <w:b/>
              </w:rPr>
              <w:t>Goal Description</w:t>
            </w:r>
          </w:p>
        </w:tc>
        <w:tc>
          <w:tcPr>
            <w:tcW w:w="0" w:type="auto"/>
          </w:tcPr>
          <w:p w14:paraId="4EEA4AA0" w14:textId="77777777" w:rsidR="00171C5D" w:rsidRDefault="00000000">
            <w:pPr>
              <w:spacing w:before="100" w:after="0"/>
            </w:pPr>
            <w:r>
              <w:rPr>
                <w:color w:val="000000"/>
              </w:rPr>
              <w:t>Broad project to increase and preserve owner-occupied and rental housing. Includes new and rehab construction, affordability preservation, household toxin and lead remediation, housing counseling, home buyer incentives, and emergency payments to prevent eviction and default.</w:t>
            </w:r>
          </w:p>
        </w:tc>
      </w:tr>
      <w:tr w:rsidR="00171C5D" w14:paraId="096C06A8" w14:textId="77777777">
        <w:trPr>
          <w:cantSplit/>
        </w:trPr>
        <w:tc>
          <w:tcPr>
            <w:tcW w:w="0" w:type="auto"/>
            <w:vMerge w:val="restart"/>
          </w:tcPr>
          <w:p w14:paraId="16773401" w14:textId="77777777" w:rsidR="00171C5D" w:rsidRDefault="00000000">
            <w:pPr>
              <w:keepNext/>
              <w:spacing w:before="100" w:after="0"/>
            </w:pPr>
            <w:r>
              <w:rPr>
                <w:b/>
                <w:color w:val="000000"/>
              </w:rPr>
              <w:lastRenderedPageBreak/>
              <w:t>2</w:t>
            </w:r>
          </w:p>
        </w:tc>
        <w:tc>
          <w:tcPr>
            <w:tcW w:w="0" w:type="auto"/>
          </w:tcPr>
          <w:p w14:paraId="7612CDB9" w14:textId="77777777" w:rsidR="00171C5D" w:rsidRDefault="00000000">
            <w:pPr>
              <w:keepNext/>
              <w:spacing w:before="100" w:after="0"/>
              <w:rPr>
                <w:b/>
              </w:rPr>
            </w:pPr>
            <w:r>
              <w:rPr>
                <w:b/>
              </w:rPr>
              <w:t>Goal Name</w:t>
            </w:r>
          </w:p>
        </w:tc>
        <w:tc>
          <w:tcPr>
            <w:tcW w:w="0" w:type="auto"/>
          </w:tcPr>
          <w:p w14:paraId="4A6B175C" w14:textId="77777777" w:rsidR="00171C5D" w:rsidRDefault="00000000">
            <w:pPr>
              <w:spacing w:before="100" w:after="0"/>
            </w:pPr>
            <w:r>
              <w:rPr>
                <w:color w:val="000000"/>
              </w:rPr>
              <w:t>Housing and Assistance for homeless people</w:t>
            </w:r>
          </w:p>
        </w:tc>
      </w:tr>
      <w:tr w:rsidR="00171C5D" w14:paraId="3F871E01" w14:textId="77777777">
        <w:trPr>
          <w:cantSplit/>
        </w:trPr>
        <w:tc>
          <w:tcPr>
            <w:tcW w:w="0" w:type="auto"/>
            <w:vMerge/>
          </w:tcPr>
          <w:p w14:paraId="10481388" w14:textId="77777777" w:rsidR="00171C5D" w:rsidRDefault="00171C5D"/>
        </w:tc>
        <w:tc>
          <w:tcPr>
            <w:tcW w:w="0" w:type="auto"/>
          </w:tcPr>
          <w:p w14:paraId="3821FA3C" w14:textId="77777777" w:rsidR="00171C5D" w:rsidRDefault="00000000">
            <w:pPr>
              <w:keepNext/>
              <w:spacing w:before="100" w:after="0"/>
              <w:rPr>
                <w:b/>
              </w:rPr>
            </w:pPr>
            <w:r>
              <w:rPr>
                <w:b/>
              </w:rPr>
              <w:t>Goal Description</w:t>
            </w:r>
          </w:p>
        </w:tc>
        <w:tc>
          <w:tcPr>
            <w:tcW w:w="0" w:type="auto"/>
          </w:tcPr>
          <w:p w14:paraId="0A89A19F" w14:textId="77777777" w:rsidR="00171C5D" w:rsidRDefault="00000000">
            <w:pPr>
              <w:spacing w:before="100" w:after="0"/>
            </w:pPr>
            <w:r>
              <w:rPr>
                <w:color w:val="000000"/>
              </w:rPr>
              <w:t>Funds will be utilized to support</w:t>
            </w:r>
          </w:p>
          <w:p w14:paraId="5D0A11B9" w14:textId="77777777" w:rsidR="00171C5D" w:rsidRDefault="00000000">
            <w:pPr>
              <w:numPr>
                <w:ilvl w:val="0"/>
                <w:numId w:val="3"/>
              </w:numPr>
              <w:spacing w:before="100" w:after="0"/>
            </w:pPr>
            <w:r>
              <w:rPr>
                <w:color w:val="000000"/>
              </w:rPr>
              <w:t xml:space="preserve">direct client services to homeless individuals, families and youth in emergency shelters and transitional housing </w:t>
            </w:r>
            <w:proofErr w:type="gramStart"/>
            <w:r>
              <w:rPr>
                <w:color w:val="000000"/>
              </w:rPr>
              <w:t>facilities;</w:t>
            </w:r>
            <w:proofErr w:type="gramEnd"/>
          </w:p>
          <w:p w14:paraId="6656D28D" w14:textId="77777777" w:rsidR="00171C5D" w:rsidRDefault="00000000">
            <w:pPr>
              <w:numPr>
                <w:ilvl w:val="0"/>
                <w:numId w:val="3"/>
              </w:numPr>
              <w:spacing w:before="100" w:after="0"/>
            </w:pPr>
            <w:r>
              <w:rPr>
                <w:color w:val="000000"/>
              </w:rPr>
              <w:t xml:space="preserve">operating costs of emergency shelters and transitional housing </w:t>
            </w:r>
            <w:proofErr w:type="gramStart"/>
            <w:r>
              <w:rPr>
                <w:color w:val="000000"/>
              </w:rPr>
              <w:t>facilities;</w:t>
            </w:r>
            <w:proofErr w:type="gramEnd"/>
          </w:p>
          <w:p w14:paraId="2BD85E17" w14:textId="77777777" w:rsidR="00171C5D" w:rsidRDefault="00000000">
            <w:pPr>
              <w:numPr>
                <w:ilvl w:val="0"/>
                <w:numId w:val="3"/>
              </w:numPr>
              <w:spacing w:before="100" w:after="0"/>
            </w:pPr>
            <w:r>
              <w:rPr>
                <w:color w:val="000000"/>
              </w:rPr>
              <w:t xml:space="preserve">operating costs of Day Resource </w:t>
            </w:r>
            <w:proofErr w:type="gramStart"/>
            <w:r>
              <w:rPr>
                <w:color w:val="000000"/>
              </w:rPr>
              <w:t>centers;</w:t>
            </w:r>
            <w:proofErr w:type="gramEnd"/>
          </w:p>
          <w:p w14:paraId="269E5D4B" w14:textId="77777777" w:rsidR="00171C5D" w:rsidRDefault="00000000">
            <w:pPr>
              <w:numPr>
                <w:ilvl w:val="0"/>
                <w:numId w:val="3"/>
              </w:numPr>
              <w:spacing w:before="100" w:after="0"/>
            </w:pPr>
            <w:r>
              <w:rPr>
                <w:color w:val="000000"/>
              </w:rPr>
              <w:t xml:space="preserve">Convalescent Care Program for medically fragile homeless </w:t>
            </w:r>
            <w:proofErr w:type="gramStart"/>
            <w:r>
              <w:rPr>
                <w:color w:val="000000"/>
              </w:rPr>
              <w:t>individuals;</w:t>
            </w:r>
            <w:proofErr w:type="gramEnd"/>
          </w:p>
          <w:p w14:paraId="246DBDEB" w14:textId="77777777" w:rsidR="00171C5D" w:rsidRDefault="00000000">
            <w:pPr>
              <w:numPr>
                <w:ilvl w:val="0"/>
                <w:numId w:val="3"/>
              </w:numPr>
              <w:spacing w:before="100" w:after="0"/>
            </w:pPr>
            <w:r>
              <w:rPr>
                <w:color w:val="000000"/>
              </w:rPr>
              <w:t>Rapid Rehousing and Eviction Prevention services; and</w:t>
            </w:r>
          </w:p>
          <w:p w14:paraId="211BB8A4" w14:textId="77777777" w:rsidR="00171C5D" w:rsidRDefault="00000000">
            <w:pPr>
              <w:numPr>
                <w:ilvl w:val="0"/>
                <w:numId w:val="3"/>
              </w:numPr>
              <w:spacing w:before="100" w:after="0"/>
            </w:pPr>
            <w:r>
              <w:rPr>
                <w:color w:val="000000"/>
              </w:rPr>
              <w:t>outreach services.</w:t>
            </w:r>
          </w:p>
        </w:tc>
      </w:tr>
      <w:tr w:rsidR="00171C5D" w14:paraId="371783F6" w14:textId="77777777">
        <w:trPr>
          <w:cantSplit/>
        </w:trPr>
        <w:tc>
          <w:tcPr>
            <w:tcW w:w="0" w:type="auto"/>
            <w:vMerge w:val="restart"/>
          </w:tcPr>
          <w:p w14:paraId="3D96EF92" w14:textId="77777777" w:rsidR="00171C5D" w:rsidRDefault="00000000">
            <w:pPr>
              <w:keepNext/>
              <w:spacing w:before="100" w:after="0"/>
            </w:pPr>
            <w:r>
              <w:rPr>
                <w:b/>
                <w:color w:val="000000"/>
              </w:rPr>
              <w:t>3</w:t>
            </w:r>
          </w:p>
        </w:tc>
        <w:tc>
          <w:tcPr>
            <w:tcW w:w="0" w:type="auto"/>
          </w:tcPr>
          <w:p w14:paraId="62717A65" w14:textId="77777777" w:rsidR="00171C5D" w:rsidRDefault="00000000">
            <w:pPr>
              <w:keepNext/>
              <w:spacing w:before="100" w:after="0"/>
              <w:rPr>
                <w:b/>
              </w:rPr>
            </w:pPr>
            <w:r>
              <w:rPr>
                <w:b/>
              </w:rPr>
              <w:t>Goal Name</w:t>
            </w:r>
          </w:p>
        </w:tc>
        <w:tc>
          <w:tcPr>
            <w:tcW w:w="0" w:type="auto"/>
          </w:tcPr>
          <w:p w14:paraId="36716409" w14:textId="77777777" w:rsidR="00171C5D" w:rsidRDefault="00000000">
            <w:pPr>
              <w:spacing w:before="100" w:after="0"/>
            </w:pPr>
            <w:r>
              <w:rPr>
                <w:color w:val="000000"/>
              </w:rPr>
              <w:t>Support Vital Supportive Services</w:t>
            </w:r>
          </w:p>
        </w:tc>
      </w:tr>
      <w:tr w:rsidR="00171C5D" w14:paraId="0D028B10" w14:textId="77777777">
        <w:trPr>
          <w:cantSplit/>
        </w:trPr>
        <w:tc>
          <w:tcPr>
            <w:tcW w:w="0" w:type="auto"/>
            <w:vMerge/>
          </w:tcPr>
          <w:p w14:paraId="1C2E5447" w14:textId="77777777" w:rsidR="00171C5D" w:rsidRDefault="00171C5D"/>
        </w:tc>
        <w:tc>
          <w:tcPr>
            <w:tcW w:w="0" w:type="auto"/>
          </w:tcPr>
          <w:p w14:paraId="3863EE73" w14:textId="77777777" w:rsidR="00171C5D" w:rsidRDefault="00000000">
            <w:pPr>
              <w:keepNext/>
              <w:spacing w:before="100" w:after="0"/>
              <w:rPr>
                <w:b/>
              </w:rPr>
            </w:pPr>
            <w:r>
              <w:rPr>
                <w:b/>
              </w:rPr>
              <w:t>Goal Description</w:t>
            </w:r>
          </w:p>
        </w:tc>
        <w:tc>
          <w:tcPr>
            <w:tcW w:w="0" w:type="auto"/>
          </w:tcPr>
          <w:p w14:paraId="6CBF96A1" w14:textId="77777777" w:rsidR="00171C5D" w:rsidRDefault="00000000">
            <w:pPr>
              <w:spacing w:before="100" w:after="0"/>
            </w:pPr>
            <w:r>
              <w:rPr>
                <w:color w:val="000000"/>
              </w:rPr>
              <w:t>Provide public services that are vital to creating healthy, safe, and desirable neighborhoods.</w:t>
            </w:r>
          </w:p>
        </w:tc>
      </w:tr>
      <w:tr w:rsidR="00171C5D" w14:paraId="4EA0F9CD" w14:textId="77777777">
        <w:trPr>
          <w:cantSplit/>
        </w:trPr>
        <w:tc>
          <w:tcPr>
            <w:tcW w:w="0" w:type="auto"/>
            <w:vMerge w:val="restart"/>
          </w:tcPr>
          <w:p w14:paraId="359D9FEF" w14:textId="77777777" w:rsidR="00171C5D" w:rsidRDefault="00000000">
            <w:pPr>
              <w:keepNext/>
              <w:spacing w:before="100" w:after="0"/>
            </w:pPr>
            <w:r>
              <w:rPr>
                <w:b/>
                <w:color w:val="000000"/>
              </w:rPr>
              <w:t>4</w:t>
            </w:r>
          </w:p>
        </w:tc>
        <w:tc>
          <w:tcPr>
            <w:tcW w:w="0" w:type="auto"/>
          </w:tcPr>
          <w:p w14:paraId="7B0D535C" w14:textId="77777777" w:rsidR="00171C5D" w:rsidRDefault="00000000">
            <w:pPr>
              <w:keepNext/>
              <w:spacing w:before="100" w:after="0"/>
              <w:rPr>
                <w:b/>
              </w:rPr>
            </w:pPr>
            <w:r>
              <w:rPr>
                <w:b/>
              </w:rPr>
              <w:t>Goal Name</w:t>
            </w:r>
          </w:p>
        </w:tc>
        <w:tc>
          <w:tcPr>
            <w:tcW w:w="0" w:type="auto"/>
          </w:tcPr>
          <w:p w14:paraId="4943F1D3" w14:textId="77777777" w:rsidR="00171C5D" w:rsidRDefault="00000000">
            <w:pPr>
              <w:spacing w:before="100" w:after="0"/>
            </w:pPr>
            <w:r>
              <w:rPr>
                <w:color w:val="000000"/>
              </w:rPr>
              <w:t>Economic Development</w:t>
            </w:r>
          </w:p>
        </w:tc>
      </w:tr>
      <w:tr w:rsidR="00171C5D" w14:paraId="4FBC3F00" w14:textId="77777777">
        <w:trPr>
          <w:cantSplit/>
        </w:trPr>
        <w:tc>
          <w:tcPr>
            <w:tcW w:w="0" w:type="auto"/>
            <w:vMerge/>
          </w:tcPr>
          <w:p w14:paraId="109C18A0" w14:textId="77777777" w:rsidR="00171C5D" w:rsidRDefault="00171C5D"/>
        </w:tc>
        <w:tc>
          <w:tcPr>
            <w:tcW w:w="0" w:type="auto"/>
          </w:tcPr>
          <w:p w14:paraId="4F695BDC" w14:textId="77777777" w:rsidR="00171C5D" w:rsidRDefault="00000000">
            <w:pPr>
              <w:keepNext/>
              <w:spacing w:before="100" w:after="0"/>
              <w:rPr>
                <w:b/>
              </w:rPr>
            </w:pPr>
            <w:r>
              <w:rPr>
                <w:b/>
              </w:rPr>
              <w:t>Goal Description</w:t>
            </w:r>
          </w:p>
        </w:tc>
        <w:tc>
          <w:tcPr>
            <w:tcW w:w="0" w:type="auto"/>
          </w:tcPr>
          <w:p w14:paraId="17F5E76F" w14:textId="77777777" w:rsidR="00171C5D" w:rsidRDefault="00000000">
            <w:pPr>
              <w:spacing w:before="100" w:after="0"/>
            </w:pPr>
            <w:r>
              <w:rPr>
                <w:color w:val="000000"/>
              </w:rPr>
              <w:t>Provide support to public, economic development, and business services that grow our economy, train residents for livable-wage jobs, and develop goods and services the neighborhoods need and want.</w:t>
            </w:r>
          </w:p>
        </w:tc>
      </w:tr>
      <w:tr w:rsidR="00171C5D" w14:paraId="10238035" w14:textId="77777777">
        <w:trPr>
          <w:cantSplit/>
        </w:trPr>
        <w:tc>
          <w:tcPr>
            <w:tcW w:w="0" w:type="auto"/>
            <w:vMerge w:val="restart"/>
          </w:tcPr>
          <w:p w14:paraId="03C9CD41" w14:textId="77777777" w:rsidR="00171C5D" w:rsidRDefault="00000000">
            <w:pPr>
              <w:keepNext/>
              <w:spacing w:before="100" w:after="0"/>
            </w:pPr>
            <w:r>
              <w:rPr>
                <w:b/>
                <w:color w:val="000000"/>
              </w:rPr>
              <w:t>5</w:t>
            </w:r>
          </w:p>
        </w:tc>
        <w:tc>
          <w:tcPr>
            <w:tcW w:w="0" w:type="auto"/>
          </w:tcPr>
          <w:p w14:paraId="6FD3D974" w14:textId="77777777" w:rsidR="00171C5D" w:rsidRDefault="00000000">
            <w:pPr>
              <w:keepNext/>
              <w:spacing w:before="100" w:after="0"/>
              <w:rPr>
                <w:b/>
              </w:rPr>
            </w:pPr>
            <w:r>
              <w:rPr>
                <w:b/>
              </w:rPr>
              <w:t>Goal Name</w:t>
            </w:r>
          </w:p>
        </w:tc>
        <w:tc>
          <w:tcPr>
            <w:tcW w:w="0" w:type="auto"/>
          </w:tcPr>
          <w:p w14:paraId="2D4A22BD" w14:textId="77777777" w:rsidR="00171C5D" w:rsidRDefault="00000000">
            <w:pPr>
              <w:spacing w:before="100" w:after="0"/>
            </w:pPr>
            <w:r>
              <w:rPr>
                <w:color w:val="000000"/>
              </w:rPr>
              <w:t>Property Improvement and Redevelopment</w:t>
            </w:r>
          </w:p>
        </w:tc>
      </w:tr>
      <w:tr w:rsidR="00171C5D" w14:paraId="7BABF233" w14:textId="77777777">
        <w:trPr>
          <w:cantSplit/>
        </w:trPr>
        <w:tc>
          <w:tcPr>
            <w:tcW w:w="0" w:type="auto"/>
            <w:vMerge/>
          </w:tcPr>
          <w:p w14:paraId="3CFA3909" w14:textId="77777777" w:rsidR="00171C5D" w:rsidRDefault="00171C5D"/>
        </w:tc>
        <w:tc>
          <w:tcPr>
            <w:tcW w:w="0" w:type="auto"/>
          </w:tcPr>
          <w:p w14:paraId="666AE88E" w14:textId="77777777" w:rsidR="00171C5D" w:rsidRDefault="00000000">
            <w:pPr>
              <w:keepNext/>
              <w:spacing w:before="100" w:after="0"/>
              <w:rPr>
                <w:b/>
              </w:rPr>
            </w:pPr>
            <w:r>
              <w:rPr>
                <w:b/>
              </w:rPr>
              <w:t>Goal Description</w:t>
            </w:r>
          </w:p>
        </w:tc>
        <w:tc>
          <w:tcPr>
            <w:tcW w:w="0" w:type="auto"/>
          </w:tcPr>
          <w:p w14:paraId="2E688B12" w14:textId="77777777" w:rsidR="00171C5D" w:rsidRDefault="00000000">
            <w:pPr>
              <w:spacing w:before="100" w:after="0"/>
            </w:pPr>
            <w:r>
              <w:rPr>
                <w:color w:val="000000"/>
              </w:rPr>
              <w:t xml:space="preserve">Support activities that cure vacant structures and abandoned lots, address structural deterioration and decay, and improve community places to </w:t>
            </w:r>
            <w:proofErr w:type="spellStart"/>
            <w:r>
              <w:rPr>
                <w:color w:val="000000"/>
              </w:rPr>
              <w:t>creat</w:t>
            </w:r>
            <w:proofErr w:type="spellEnd"/>
            <w:r>
              <w:rPr>
                <w:color w:val="000000"/>
              </w:rPr>
              <w:t xml:space="preserve"> sustainable neighborhoods and communities.</w:t>
            </w:r>
          </w:p>
        </w:tc>
      </w:tr>
      <w:tr w:rsidR="00171C5D" w14:paraId="2E6FC7B0" w14:textId="77777777">
        <w:trPr>
          <w:cantSplit/>
        </w:trPr>
        <w:tc>
          <w:tcPr>
            <w:tcW w:w="0" w:type="auto"/>
            <w:vMerge w:val="restart"/>
          </w:tcPr>
          <w:p w14:paraId="0E77855E" w14:textId="77777777" w:rsidR="00171C5D" w:rsidRDefault="00000000">
            <w:pPr>
              <w:keepNext/>
              <w:spacing w:before="100" w:after="0"/>
            </w:pPr>
            <w:r>
              <w:rPr>
                <w:b/>
                <w:color w:val="000000"/>
              </w:rPr>
              <w:t>6</w:t>
            </w:r>
          </w:p>
        </w:tc>
        <w:tc>
          <w:tcPr>
            <w:tcW w:w="0" w:type="auto"/>
          </w:tcPr>
          <w:p w14:paraId="1A441DEC" w14:textId="77777777" w:rsidR="00171C5D" w:rsidRDefault="00000000">
            <w:pPr>
              <w:keepNext/>
              <w:spacing w:before="100" w:after="0"/>
              <w:rPr>
                <w:b/>
              </w:rPr>
            </w:pPr>
            <w:r>
              <w:rPr>
                <w:b/>
              </w:rPr>
              <w:t>Goal Name</w:t>
            </w:r>
          </w:p>
        </w:tc>
        <w:tc>
          <w:tcPr>
            <w:tcW w:w="0" w:type="auto"/>
          </w:tcPr>
          <w:p w14:paraId="423CB81B" w14:textId="77777777" w:rsidR="00171C5D" w:rsidRDefault="00000000">
            <w:pPr>
              <w:spacing w:before="100" w:after="0"/>
            </w:pPr>
            <w:r>
              <w:rPr>
                <w:color w:val="000000"/>
              </w:rPr>
              <w:t>Research, Planning, and Oversight of Form. Funds</w:t>
            </w:r>
          </w:p>
        </w:tc>
      </w:tr>
      <w:tr w:rsidR="00171C5D" w14:paraId="0ECCA8AC" w14:textId="77777777">
        <w:trPr>
          <w:cantSplit/>
        </w:trPr>
        <w:tc>
          <w:tcPr>
            <w:tcW w:w="0" w:type="auto"/>
            <w:vMerge/>
          </w:tcPr>
          <w:p w14:paraId="114C89A6" w14:textId="77777777" w:rsidR="00171C5D" w:rsidRDefault="00171C5D"/>
        </w:tc>
        <w:tc>
          <w:tcPr>
            <w:tcW w:w="0" w:type="auto"/>
          </w:tcPr>
          <w:p w14:paraId="40496F8F" w14:textId="77777777" w:rsidR="00171C5D" w:rsidRDefault="00000000">
            <w:pPr>
              <w:keepNext/>
              <w:spacing w:before="100" w:after="0"/>
              <w:rPr>
                <w:b/>
              </w:rPr>
            </w:pPr>
            <w:r>
              <w:rPr>
                <w:b/>
              </w:rPr>
              <w:t>Goal Description</w:t>
            </w:r>
          </w:p>
        </w:tc>
        <w:tc>
          <w:tcPr>
            <w:tcW w:w="0" w:type="auto"/>
          </w:tcPr>
          <w:p w14:paraId="5C499B03" w14:textId="77777777" w:rsidR="00171C5D" w:rsidRDefault="00000000">
            <w:pPr>
              <w:spacing w:before="100" w:after="0"/>
            </w:pPr>
            <w:r>
              <w:rPr>
                <w:color w:val="000000"/>
              </w:rPr>
              <w:t>Appropriate, policy-based management of federal formula funds.</w:t>
            </w:r>
          </w:p>
        </w:tc>
      </w:tr>
    </w:tbl>
    <w:p w14:paraId="5C6F7525" w14:textId="77777777" w:rsidR="00171C5D" w:rsidRDefault="00171C5D">
      <w:pPr>
        <w:keepNext/>
        <w:widowControl w:val="0"/>
        <w:jc w:val="center"/>
        <w:rPr>
          <w:b/>
          <w:sz w:val="20"/>
          <w:szCs w:val="20"/>
        </w:rPr>
      </w:pPr>
    </w:p>
    <w:p w14:paraId="3AEE0228" w14:textId="77777777" w:rsidR="00171C5D" w:rsidRDefault="00171C5D">
      <w:pPr>
        <w:rPr>
          <w:b/>
          <w:sz w:val="24"/>
          <w:szCs w:val="24"/>
        </w:rPr>
      </w:pPr>
    </w:p>
    <w:p w14:paraId="57D579B8" w14:textId="77777777" w:rsidR="00171C5D" w:rsidRDefault="00171C5D">
      <w:pPr>
        <w:sectPr w:rsidR="00171C5D">
          <w:pgSz w:w="15840" w:h="12240" w:orient="landscape" w:code="1"/>
          <w:pgMar w:top="1440" w:right="1440" w:bottom="1440" w:left="1440" w:header="720" w:footer="720" w:gutter="0"/>
          <w:cols w:space="720"/>
          <w:docGrid w:linePitch="360"/>
        </w:sectPr>
      </w:pPr>
    </w:p>
    <w:p w14:paraId="33AB62BC" w14:textId="77777777" w:rsidR="00171C5D" w:rsidRDefault="00000000">
      <w:pPr>
        <w:pStyle w:val="Heading2"/>
        <w:jc w:val="center"/>
        <w:rPr>
          <w:rFonts w:ascii="Calibri" w:hAnsi="Calibri"/>
          <w:i w:val="0"/>
          <w:sz w:val="32"/>
          <w:szCs w:val="32"/>
        </w:rPr>
      </w:pPr>
      <w:r>
        <w:rPr>
          <w:rFonts w:ascii="Calibri" w:hAnsi="Calibri"/>
          <w:i w:val="0"/>
          <w:sz w:val="32"/>
          <w:szCs w:val="32"/>
        </w:rPr>
        <w:lastRenderedPageBreak/>
        <w:t xml:space="preserve">Projects </w:t>
      </w:r>
      <w:bookmarkStart w:id="0" w:name="_Toc309810475"/>
    </w:p>
    <w:p w14:paraId="50F7866F" w14:textId="77777777" w:rsidR="00171C5D" w:rsidRDefault="00000000">
      <w:pPr>
        <w:pStyle w:val="Heading2"/>
        <w:rPr>
          <w:rFonts w:ascii="Calibri" w:hAnsi="Calibri"/>
          <w:i w:val="0"/>
        </w:rPr>
      </w:pPr>
      <w:r>
        <w:rPr>
          <w:rFonts w:ascii="Calibri" w:hAnsi="Calibri"/>
          <w:i w:val="0"/>
        </w:rPr>
        <w:t>AP-35 Projects – 91.220(d)</w:t>
      </w:r>
    </w:p>
    <w:p w14:paraId="42ED3CBF" w14:textId="77777777" w:rsidR="00171C5D" w:rsidRDefault="00000000">
      <w:pPr>
        <w:keepNext/>
        <w:widowControl w:val="0"/>
        <w:spacing w:line="204" w:lineRule="auto"/>
        <w:rPr>
          <w:b/>
          <w:sz w:val="24"/>
          <w:szCs w:val="24"/>
        </w:rPr>
      </w:pPr>
      <w:r>
        <w:rPr>
          <w:b/>
          <w:sz w:val="24"/>
          <w:szCs w:val="24"/>
        </w:rPr>
        <w:t xml:space="preserve">Introduction </w:t>
      </w:r>
    </w:p>
    <w:p w14:paraId="22403EDC" w14:textId="77777777" w:rsidR="00171C5D" w:rsidRDefault="00000000">
      <w:pPr>
        <w:keepNext/>
        <w:widowControl w:val="0"/>
        <w:spacing w:beforeAutospacing="1" w:afterAutospacing="1"/>
        <w:rPr>
          <w:rFonts w:cs="Arial"/>
        </w:rPr>
      </w:pPr>
      <w:r>
        <w:rPr>
          <w:rFonts w:cs="Arial"/>
        </w:rPr>
        <w:t xml:space="preserve">The PY 2025 Annual Action Plan is organized differently than the preceding Action Plans: We have streamlined and </w:t>
      </w:r>
      <w:proofErr w:type="spellStart"/>
      <w:r>
        <w:rPr>
          <w:rFonts w:cs="Arial"/>
        </w:rPr>
        <w:t>catagorized</w:t>
      </w:r>
      <w:proofErr w:type="spellEnd"/>
      <w:r>
        <w:rPr>
          <w:rFonts w:cs="Arial"/>
        </w:rPr>
        <w:t xml:space="preserve"> our Projects by lumping Activities into general project </w:t>
      </w:r>
      <w:proofErr w:type="spellStart"/>
      <w:r>
        <w:rPr>
          <w:rFonts w:cs="Arial"/>
        </w:rPr>
        <w:t>catagories</w:t>
      </w:r>
      <w:proofErr w:type="spellEnd"/>
      <w:r>
        <w:rPr>
          <w:rFonts w:cs="Arial"/>
        </w:rPr>
        <w:t>. We did this to align with advice and training from the National Community Development Association, and to reduce the number of substantial amendments we must process to satisfy changing conditions in the agencies and non-profits we serve.</w:t>
      </w:r>
    </w:p>
    <w:p w14:paraId="15B83EBD" w14:textId="77777777" w:rsidR="00171C5D" w:rsidRDefault="00171C5D">
      <w:pPr>
        <w:keepNext/>
        <w:widowControl w:val="0"/>
        <w:spacing w:line="204" w:lineRule="auto"/>
        <w:rPr>
          <w:rFonts w:cs="Arial"/>
        </w:rPr>
      </w:pPr>
    </w:p>
    <w:p w14:paraId="584B90B5" w14:textId="77777777" w:rsidR="00171C5D" w:rsidRDefault="00000000">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5220"/>
      </w:tblGrid>
      <w:tr w:rsidR="00171C5D" w14:paraId="032A6CA8" w14:textId="77777777">
        <w:trPr>
          <w:cantSplit/>
          <w:tblHeader/>
        </w:trPr>
        <w:tc>
          <w:tcPr>
            <w:tcW w:w="0" w:type="auto"/>
          </w:tcPr>
          <w:p w14:paraId="65FB447F" w14:textId="77777777" w:rsidR="00171C5D" w:rsidRDefault="00000000">
            <w:pPr>
              <w:keepNext/>
              <w:widowControl w:val="0"/>
              <w:spacing w:after="0" w:line="240" w:lineRule="auto"/>
              <w:jc w:val="center"/>
              <w:rPr>
                <w:b/>
              </w:rPr>
            </w:pPr>
            <w:r>
              <w:rPr>
                <w:b/>
              </w:rPr>
              <w:t>#</w:t>
            </w:r>
          </w:p>
        </w:tc>
        <w:tc>
          <w:tcPr>
            <w:tcW w:w="0" w:type="auto"/>
          </w:tcPr>
          <w:p w14:paraId="737FA6AF" w14:textId="77777777" w:rsidR="00171C5D" w:rsidRDefault="00000000">
            <w:pPr>
              <w:keepNext/>
              <w:widowControl w:val="0"/>
              <w:spacing w:after="0" w:line="240" w:lineRule="auto"/>
              <w:jc w:val="center"/>
              <w:rPr>
                <w:b/>
                <w:szCs w:val="24"/>
              </w:rPr>
            </w:pPr>
            <w:r>
              <w:rPr>
                <w:b/>
              </w:rPr>
              <w:t>Project Name</w:t>
            </w:r>
          </w:p>
        </w:tc>
      </w:tr>
      <w:tr w:rsidR="00171C5D" w14:paraId="217771FB" w14:textId="77777777">
        <w:trPr>
          <w:cantSplit/>
        </w:trPr>
        <w:tc>
          <w:tcPr>
            <w:tcW w:w="0" w:type="auto"/>
            <w:vAlign w:val="bottom"/>
          </w:tcPr>
          <w:p w14:paraId="0D971DDC" w14:textId="77777777" w:rsidR="00171C5D" w:rsidRDefault="00000000">
            <w:pPr>
              <w:spacing w:beforeAutospacing="1" w:afterAutospacing="1"/>
              <w:jc w:val="right"/>
            </w:pPr>
            <w:r>
              <w:rPr>
                <w:color w:val="000000"/>
              </w:rPr>
              <w:t>1</w:t>
            </w:r>
          </w:p>
        </w:tc>
        <w:tc>
          <w:tcPr>
            <w:tcW w:w="0" w:type="auto"/>
            <w:vAlign w:val="bottom"/>
          </w:tcPr>
          <w:p w14:paraId="79613692" w14:textId="77777777" w:rsidR="00171C5D" w:rsidRDefault="00000000">
            <w:pPr>
              <w:spacing w:beforeAutospacing="1" w:afterAutospacing="1"/>
            </w:pPr>
            <w:r>
              <w:rPr>
                <w:color w:val="000000"/>
              </w:rPr>
              <w:t>Increase and Preserve Affordable Housing</w:t>
            </w:r>
          </w:p>
        </w:tc>
      </w:tr>
      <w:tr w:rsidR="00171C5D" w14:paraId="35CE87DB" w14:textId="77777777">
        <w:trPr>
          <w:cantSplit/>
        </w:trPr>
        <w:tc>
          <w:tcPr>
            <w:tcW w:w="0" w:type="auto"/>
            <w:vAlign w:val="bottom"/>
          </w:tcPr>
          <w:p w14:paraId="7E5C763B" w14:textId="77777777" w:rsidR="00171C5D" w:rsidRDefault="00000000">
            <w:pPr>
              <w:spacing w:beforeAutospacing="1" w:afterAutospacing="1"/>
              <w:jc w:val="right"/>
            </w:pPr>
            <w:r>
              <w:rPr>
                <w:color w:val="000000"/>
              </w:rPr>
              <w:t>2</w:t>
            </w:r>
          </w:p>
        </w:tc>
        <w:tc>
          <w:tcPr>
            <w:tcW w:w="0" w:type="auto"/>
            <w:vAlign w:val="bottom"/>
          </w:tcPr>
          <w:p w14:paraId="3C30C3A6" w14:textId="77777777" w:rsidR="00171C5D" w:rsidRDefault="00000000">
            <w:pPr>
              <w:spacing w:beforeAutospacing="1" w:afterAutospacing="1"/>
            </w:pPr>
            <w:r>
              <w:rPr>
                <w:color w:val="000000"/>
              </w:rPr>
              <w:t>Support homeless shelters and services to the homeless</w:t>
            </w:r>
          </w:p>
        </w:tc>
      </w:tr>
      <w:tr w:rsidR="00171C5D" w14:paraId="0923202F" w14:textId="77777777">
        <w:trPr>
          <w:cantSplit/>
        </w:trPr>
        <w:tc>
          <w:tcPr>
            <w:tcW w:w="0" w:type="auto"/>
            <w:vAlign w:val="bottom"/>
          </w:tcPr>
          <w:p w14:paraId="4F3E9A26" w14:textId="77777777" w:rsidR="00171C5D" w:rsidRDefault="00000000">
            <w:pPr>
              <w:spacing w:beforeAutospacing="1" w:afterAutospacing="1"/>
              <w:jc w:val="right"/>
            </w:pPr>
            <w:r>
              <w:rPr>
                <w:color w:val="000000"/>
              </w:rPr>
              <w:t>3</w:t>
            </w:r>
          </w:p>
        </w:tc>
        <w:tc>
          <w:tcPr>
            <w:tcW w:w="0" w:type="auto"/>
            <w:vAlign w:val="bottom"/>
          </w:tcPr>
          <w:p w14:paraId="2FAC897C" w14:textId="77777777" w:rsidR="00171C5D" w:rsidRDefault="00000000">
            <w:pPr>
              <w:spacing w:beforeAutospacing="1" w:afterAutospacing="1"/>
            </w:pPr>
            <w:r>
              <w:rPr>
                <w:color w:val="000000"/>
              </w:rPr>
              <w:t>Support Vital Supportive Services</w:t>
            </w:r>
          </w:p>
        </w:tc>
      </w:tr>
      <w:tr w:rsidR="00171C5D" w14:paraId="091931B6" w14:textId="77777777">
        <w:trPr>
          <w:cantSplit/>
        </w:trPr>
        <w:tc>
          <w:tcPr>
            <w:tcW w:w="0" w:type="auto"/>
            <w:vAlign w:val="bottom"/>
          </w:tcPr>
          <w:p w14:paraId="23965F27" w14:textId="77777777" w:rsidR="00171C5D" w:rsidRDefault="00000000">
            <w:pPr>
              <w:spacing w:beforeAutospacing="1" w:afterAutospacing="1"/>
              <w:jc w:val="right"/>
            </w:pPr>
            <w:r>
              <w:rPr>
                <w:color w:val="000000"/>
              </w:rPr>
              <w:t>4</w:t>
            </w:r>
          </w:p>
        </w:tc>
        <w:tc>
          <w:tcPr>
            <w:tcW w:w="0" w:type="auto"/>
            <w:vAlign w:val="bottom"/>
          </w:tcPr>
          <w:p w14:paraId="5ACD17DC" w14:textId="77777777" w:rsidR="00171C5D" w:rsidRDefault="00000000">
            <w:pPr>
              <w:spacing w:beforeAutospacing="1" w:afterAutospacing="1"/>
            </w:pPr>
            <w:r>
              <w:rPr>
                <w:color w:val="000000"/>
              </w:rPr>
              <w:t>Economic Development Services</w:t>
            </w:r>
          </w:p>
        </w:tc>
      </w:tr>
      <w:tr w:rsidR="00171C5D" w14:paraId="110920CB" w14:textId="77777777">
        <w:trPr>
          <w:cantSplit/>
        </w:trPr>
        <w:tc>
          <w:tcPr>
            <w:tcW w:w="0" w:type="auto"/>
            <w:vAlign w:val="bottom"/>
          </w:tcPr>
          <w:p w14:paraId="2694BDFA" w14:textId="77777777" w:rsidR="00171C5D" w:rsidRDefault="00000000">
            <w:pPr>
              <w:spacing w:beforeAutospacing="1" w:afterAutospacing="1"/>
              <w:jc w:val="right"/>
            </w:pPr>
            <w:r>
              <w:rPr>
                <w:color w:val="000000"/>
              </w:rPr>
              <w:t>5</w:t>
            </w:r>
          </w:p>
        </w:tc>
        <w:tc>
          <w:tcPr>
            <w:tcW w:w="0" w:type="auto"/>
            <w:vAlign w:val="bottom"/>
          </w:tcPr>
          <w:p w14:paraId="3348F5C4" w14:textId="77777777" w:rsidR="00171C5D" w:rsidRDefault="00000000">
            <w:pPr>
              <w:spacing w:beforeAutospacing="1" w:afterAutospacing="1"/>
            </w:pPr>
            <w:r>
              <w:rPr>
                <w:color w:val="000000"/>
              </w:rPr>
              <w:t>Strategic Property Change</w:t>
            </w:r>
          </w:p>
        </w:tc>
      </w:tr>
      <w:tr w:rsidR="00171C5D" w14:paraId="644F617B" w14:textId="77777777">
        <w:trPr>
          <w:cantSplit/>
        </w:trPr>
        <w:tc>
          <w:tcPr>
            <w:tcW w:w="0" w:type="auto"/>
            <w:vAlign w:val="bottom"/>
          </w:tcPr>
          <w:p w14:paraId="263BD541" w14:textId="77777777" w:rsidR="00171C5D" w:rsidRDefault="00000000">
            <w:pPr>
              <w:spacing w:beforeAutospacing="1" w:afterAutospacing="1"/>
              <w:jc w:val="right"/>
            </w:pPr>
            <w:r>
              <w:rPr>
                <w:color w:val="000000"/>
              </w:rPr>
              <w:t>6</w:t>
            </w:r>
          </w:p>
        </w:tc>
        <w:tc>
          <w:tcPr>
            <w:tcW w:w="0" w:type="auto"/>
            <w:vAlign w:val="bottom"/>
          </w:tcPr>
          <w:p w14:paraId="6070D95B" w14:textId="77777777" w:rsidR="00171C5D" w:rsidRDefault="00000000">
            <w:pPr>
              <w:spacing w:beforeAutospacing="1" w:afterAutospacing="1"/>
            </w:pPr>
            <w:r>
              <w:rPr>
                <w:color w:val="000000"/>
              </w:rPr>
              <w:t>Effective and Efficient Planning &amp; Administration</w:t>
            </w:r>
          </w:p>
        </w:tc>
      </w:tr>
    </w:tbl>
    <w:p w14:paraId="545B9B53" w14:textId="77777777" w:rsidR="00171C5D"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5962B1B7" w14:textId="77777777" w:rsidR="00171C5D" w:rsidRDefault="00171C5D">
      <w:pPr>
        <w:spacing w:after="0" w:line="240" w:lineRule="auto"/>
        <w:rPr>
          <w:b/>
          <w:sz w:val="24"/>
          <w:szCs w:val="24"/>
        </w:rPr>
      </w:pPr>
    </w:p>
    <w:p w14:paraId="3A48AF45" w14:textId="77777777" w:rsidR="00171C5D" w:rsidRDefault="00000000">
      <w:pPr>
        <w:keepNext/>
        <w:widowControl w:val="0"/>
        <w:spacing w:line="204" w:lineRule="auto"/>
        <w:rPr>
          <w:b/>
          <w:sz w:val="24"/>
          <w:szCs w:val="24"/>
        </w:rPr>
      </w:pPr>
      <w:r>
        <w:rPr>
          <w:b/>
          <w:sz w:val="24"/>
          <w:szCs w:val="24"/>
        </w:rPr>
        <w:t>Describe the reasons for allocation priorities and any obstacles to addressing underserved needs</w:t>
      </w:r>
    </w:p>
    <w:p w14:paraId="1178B23A" w14:textId="77777777" w:rsidR="00171C5D" w:rsidRDefault="00000000">
      <w:pPr>
        <w:keepNext/>
        <w:widowControl w:val="0"/>
        <w:spacing w:beforeAutospacing="1" w:afterAutospacing="1"/>
        <w:rPr>
          <w:rFonts w:cs="Arial"/>
          <w:szCs w:val="24"/>
        </w:rPr>
      </w:pPr>
      <w:r>
        <w:rPr>
          <w:rFonts w:cs="Arial"/>
        </w:rPr>
        <w:t>As noted in the 2025-2030 Consolidated Plan, the housing and community development needs in Baltimore City are far greater than can be met with Annual Action Plan and associated resources. Our Federally mandated goal for the use of Consolidated Plan funds – creating decent and affordable housing, a suitable living environment, and economic opportunity - is a very large one.</w:t>
      </w:r>
    </w:p>
    <w:p w14:paraId="5E5A0B79" w14:textId="77777777" w:rsidR="00171C5D" w:rsidRDefault="00000000">
      <w:pPr>
        <w:keepNext/>
        <w:widowControl w:val="0"/>
        <w:spacing w:beforeAutospacing="1" w:afterAutospacing="1"/>
        <w:rPr>
          <w:rFonts w:cs="Arial"/>
          <w:szCs w:val="24"/>
        </w:rPr>
      </w:pPr>
      <w:r>
        <w:rPr>
          <w:rFonts w:cs="Arial"/>
        </w:rPr>
        <w:t xml:space="preserve">In developing objectives and outcomes, the City’s intent is to assist those people with the most serious housing and social problems while at the same time strengthening living environments through, for example, aiding moderate-income </w:t>
      </w:r>
      <w:proofErr w:type="gramStart"/>
      <w:r>
        <w:rPr>
          <w:rFonts w:cs="Arial"/>
        </w:rPr>
        <w:t>persons</w:t>
      </w:r>
      <w:proofErr w:type="gramEnd"/>
      <w:r>
        <w:rPr>
          <w:rFonts w:cs="Arial"/>
        </w:rPr>
        <w:t xml:space="preserve"> who are buying a home. The City will spend the preponderance of Plan funds for the benefit of the poorest of our citizens.</w:t>
      </w:r>
    </w:p>
    <w:p w14:paraId="3F7707D5" w14:textId="77777777" w:rsidR="00171C5D" w:rsidRDefault="00000000">
      <w:pPr>
        <w:keepNext/>
        <w:widowControl w:val="0"/>
        <w:spacing w:beforeAutospacing="1" w:afterAutospacing="1"/>
        <w:rPr>
          <w:rFonts w:cs="Arial"/>
          <w:szCs w:val="24"/>
        </w:rPr>
      </w:pPr>
      <w:r>
        <w:rPr>
          <w:rFonts w:cs="Arial"/>
        </w:rPr>
        <w:t xml:space="preserve">Like the prior Consolidated Plans, the 2025 – 2030 Consolidated Plan identifies specific neighborhood geographies to receive focused investment and support as Consolidated Plan strategies and annual implementing activities are aligned with DHCD’s 2019 Community Development Framework (See: https://dhcd.baltimorecity.gov/m/community-development-framework) and with the 2025 </w:t>
      </w:r>
      <w:proofErr w:type="spellStart"/>
      <w:r>
        <w:rPr>
          <w:rFonts w:cs="Arial"/>
        </w:rPr>
        <w:t>Vacant's</w:t>
      </w:r>
      <w:proofErr w:type="spellEnd"/>
      <w:r>
        <w:rPr>
          <w:rFonts w:cs="Arial"/>
        </w:rPr>
        <w:t xml:space="preserve"> Reduction </w:t>
      </w:r>
      <w:proofErr w:type="gramStart"/>
      <w:r>
        <w:rPr>
          <w:rFonts w:cs="Arial"/>
        </w:rPr>
        <w:t>Strategy  (</w:t>
      </w:r>
      <w:proofErr w:type="gramEnd"/>
      <w:r>
        <w:rPr>
          <w:rFonts w:cs="Arial"/>
        </w:rPr>
        <w:t xml:space="preserve">https://reframebaltimore.com/).  We continue with the seven four Impact Investment Areas marked for concerted redevelopment efforts while also focusing on reducing vacant </w:t>
      </w:r>
      <w:r>
        <w:rPr>
          <w:rFonts w:cs="Arial"/>
        </w:rPr>
        <w:lastRenderedPageBreak/>
        <w:t>properties though a "whole block approach</w:t>
      </w:r>
      <w:proofErr w:type="gramStart"/>
      <w:r>
        <w:rPr>
          <w:rFonts w:cs="Arial"/>
        </w:rPr>
        <w:t>"  tackling</w:t>
      </w:r>
      <w:proofErr w:type="gramEnd"/>
      <w:r>
        <w:rPr>
          <w:rFonts w:cs="Arial"/>
        </w:rPr>
        <w:t xml:space="preserve"> every vacant structure on a block to create lasting, neighborhood-wide transformation. </w:t>
      </w:r>
    </w:p>
    <w:p w14:paraId="54745F47" w14:textId="77777777" w:rsidR="00171C5D" w:rsidRDefault="00000000">
      <w:pPr>
        <w:keepNext/>
        <w:widowControl w:val="0"/>
        <w:spacing w:beforeAutospacing="1" w:afterAutospacing="1"/>
        <w:rPr>
          <w:rFonts w:cs="Arial"/>
          <w:szCs w:val="24"/>
        </w:rPr>
      </w:pPr>
      <w:r>
        <w:rPr>
          <w:rFonts w:cs="Arial"/>
        </w:rPr>
        <w:t>HOME funds will be spent to maximize leverage, thus creating the biggest impact, and to create new housing opportunities for lower income renters. New housing opportunities are provided in two ways. First, HOME will be used to create housing in the City’s higher-income neighborhoods as indicated by Baltimore’s Housing Market Typology map. Second, HOME will be used to create affordable housing in areas that are experiencing enough concentrated redevelopment efforts that they are undergoing a transformation.</w:t>
      </w:r>
    </w:p>
    <w:p w14:paraId="0F780C06" w14:textId="77777777" w:rsidR="00171C5D" w:rsidRDefault="00000000">
      <w:pPr>
        <w:keepNext/>
        <w:widowControl w:val="0"/>
        <w:spacing w:beforeAutospacing="1" w:afterAutospacing="1"/>
        <w:rPr>
          <w:rFonts w:cs="Arial"/>
          <w:szCs w:val="24"/>
        </w:rPr>
      </w:pPr>
      <w:r>
        <w:rPr>
          <w:rFonts w:cs="Arial"/>
        </w:rPr>
        <w:t>The geographic distribution for ESG funds is citywide. HOPWA funds are allocated to Baltimore City and to Anne Arundel, Baltimore, Carroll, Harford, Howard, and Queen Anne’s Counties.</w:t>
      </w:r>
    </w:p>
    <w:p w14:paraId="0B7204DF" w14:textId="77777777" w:rsidR="00171C5D" w:rsidRDefault="00171C5D">
      <w:pPr>
        <w:rPr>
          <w:rFonts w:cs="Arial"/>
        </w:rPr>
      </w:pPr>
    </w:p>
    <w:p w14:paraId="30318574" w14:textId="77777777" w:rsidR="00171C5D" w:rsidRDefault="00171C5D">
      <w:pPr>
        <w:rPr>
          <w:rFonts w:cs="Arial"/>
        </w:rPr>
      </w:pPr>
    </w:p>
    <w:p w14:paraId="76D96D95" w14:textId="77777777" w:rsidR="00171C5D" w:rsidRDefault="00171C5D">
      <w:pPr>
        <w:rPr>
          <w:rFonts w:cs="Arial"/>
        </w:rPr>
        <w:sectPr w:rsidR="00171C5D">
          <w:pgSz w:w="12240" w:h="15840" w:code="1"/>
          <w:pgMar w:top="1440" w:right="1440" w:bottom="1440" w:left="1440" w:header="720" w:footer="720" w:gutter="0"/>
          <w:cols w:space="720"/>
          <w:docGrid w:linePitch="360"/>
        </w:sectPr>
      </w:pPr>
    </w:p>
    <w:p w14:paraId="0E4DE10C" w14:textId="77777777" w:rsidR="00171C5D" w:rsidRDefault="00171C5D">
      <w:pPr>
        <w:rPr>
          <w:rFonts w:cs="Arial"/>
        </w:rPr>
      </w:pPr>
    </w:p>
    <w:p w14:paraId="5CBF3CD5" w14:textId="77777777" w:rsidR="00171C5D" w:rsidRDefault="00000000">
      <w:pPr>
        <w:pStyle w:val="Heading2"/>
        <w:rPr>
          <w:rFonts w:ascii="Calibri" w:hAnsi="Calibri"/>
          <w:i w:val="0"/>
        </w:rPr>
      </w:pPr>
      <w:r>
        <w:rPr>
          <w:rFonts w:ascii="Calibri" w:hAnsi="Calibri"/>
          <w:i w:val="0"/>
        </w:rPr>
        <w:t>AP-38 Project Summary</w:t>
      </w:r>
    </w:p>
    <w:p w14:paraId="2F8DAF6A" w14:textId="77777777" w:rsidR="00171C5D" w:rsidRDefault="00000000">
      <w:pPr>
        <w:keepNext/>
        <w:widowControl w:val="0"/>
        <w:rPr>
          <w:b/>
          <w:sz w:val="24"/>
          <w:szCs w:val="24"/>
        </w:rPr>
      </w:pPr>
      <w:r>
        <w:rPr>
          <w:b/>
          <w:sz w:val="24"/>
          <w:szCs w:val="24"/>
        </w:rPr>
        <w:t>Project Summary Information</w:t>
      </w:r>
    </w:p>
    <w:p w14:paraId="698F4EE5" w14:textId="77777777" w:rsidR="00171C5D" w:rsidRDefault="00171C5D">
      <w:pPr>
        <w:pStyle w:val="Heading2"/>
        <w:pageBreakBefore/>
        <w:rPr>
          <w:rFonts w:asciiTheme="minorHAnsi" w:hAnsiTheme="minorHAnsi"/>
          <w:i w:val="0"/>
        </w:rPr>
        <w:sectPr w:rsidR="00171C5D">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321"/>
        <w:gridCol w:w="6701"/>
      </w:tblGrid>
      <w:tr w:rsidR="00171C5D" w14:paraId="3F1BD925" w14:textId="77777777">
        <w:trPr>
          <w:cantSplit/>
        </w:trPr>
        <w:tc>
          <w:tcPr>
            <w:tcW w:w="0" w:type="auto"/>
            <w:vMerge w:val="restart"/>
          </w:tcPr>
          <w:p w14:paraId="39D29BC8" w14:textId="77777777" w:rsidR="00171C5D" w:rsidRDefault="00000000">
            <w:r>
              <w:rPr>
                <w:b/>
              </w:rPr>
              <w:lastRenderedPageBreak/>
              <w:t>1</w:t>
            </w:r>
          </w:p>
        </w:tc>
        <w:tc>
          <w:tcPr>
            <w:tcW w:w="0" w:type="auto"/>
          </w:tcPr>
          <w:p w14:paraId="5FAF1368" w14:textId="77777777" w:rsidR="00171C5D" w:rsidRDefault="00000000">
            <w:pPr>
              <w:keepNext/>
              <w:spacing w:before="100" w:after="0"/>
              <w:rPr>
                <w:b/>
              </w:rPr>
            </w:pPr>
            <w:r>
              <w:rPr>
                <w:b/>
              </w:rPr>
              <w:t>Project Name</w:t>
            </w:r>
          </w:p>
        </w:tc>
        <w:tc>
          <w:tcPr>
            <w:tcW w:w="0" w:type="auto"/>
          </w:tcPr>
          <w:p w14:paraId="5A886F1F" w14:textId="77777777" w:rsidR="00171C5D" w:rsidRDefault="00000000">
            <w:pPr>
              <w:spacing w:before="100" w:after="0"/>
            </w:pPr>
            <w:r>
              <w:rPr>
                <w:color w:val="000000"/>
              </w:rPr>
              <w:t>Increase and Preserve Affordable Housing</w:t>
            </w:r>
          </w:p>
        </w:tc>
      </w:tr>
      <w:tr w:rsidR="00171C5D" w14:paraId="06E2609D" w14:textId="77777777">
        <w:trPr>
          <w:cantSplit/>
        </w:trPr>
        <w:tc>
          <w:tcPr>
            <w:tcW w:w="0" w:type="auto"/>
            <w:vMerge/>
          </w:tcPr>
          <w:p w14:paraId="2A6634F6" w14:textId="77777777" w:rsidR="00171C5D" w:rsidRDefault="00171C5D"/>
        </w:tc>
        <w:tc>
          <w:tcPr>
            <w:tcW w:w="0" w:type="auto"/>
          </w:tcPr>
          <w:p w14:paraId="2E0A9703" w14:textId="77777777" w:rsidR="00171C5D" w:rsidRDefault="00000000">
            <w:pPr>
              <w:keepNext/>
              <w:spacing w:before="100" w:after="0"/>
              <w:rPr>
                <w:b/>
              </w:rPr>
            </w:pPr>
            <w:r>
              <w:rPr>
                <w:b/>
              </w:rPr>
              <w:t>Target Area</w:t>
            </w:r>
          </w:p>
        </w:tc>
        <w:tc>
          <w:tcPr>
            <w:tcW w:w="0" w:type="auto"/>
          </w:tcPr>
          <w:p w14:paraId="6750192A" w14:textId="77777777" w:rsidR="00171C5D" w:rsidRDefault="00000000">
            <w:pPr>
              <w:spacing w:before="100" w:after="0"/>
            </w:pPr>
            <w:r>
              <w:rPr>
                <w:color w:val="000000"/>
              </w:rPr>
              <w:t>City Wide</w:t>
            </w:r>
            <w:r>
              <w:rPr>
                <w:color w:val="000000"/>
              </w:rPr>
              <w:br/>
              <w:t xml:space="preserve">Low </w:t>
            </w:r>
            <w:proofErr w:type="gramStart"/>
            <w:r>
              <w:rPr>
                <w:color w:val="000000"/>
              </w:rPr>
              <w:t>Moderate Income</w:t>
            </w:r>
            <w:proofErr w:type="gramEnd"/>
            <w:r>
              <w:rPr>
                <w:color w:val="000000"/>
              </w:rPr>
              <w:t xml:space="preserve"> Areas</w:t>
            </w:r>
            <w:r>
              <w:rPr>
                <w:color w:val="000000"/>
              </w:rPr>
              <w:br/>
              <w:t>Vacancy Reduction Priority Geographies</w:t>
            </w:r>
          </w:p>
        </w:tc>
      </w:tr>
      <w:tr w:rsidR="00171C5D" w14:paraId="3AF637C6" w14:textId="77777777">
        <w:trPr>
          <w:cantSplit/>
        </w:trPr>
        <w:tc>
          <w:tcPr>
            <w:tcW w:w="0" w:type="auto"/>
            <w:vMerge/>
          </w:tcPr>
          <w:p w14:paraId="35A12048" w14:textId="77777777" w:rsidR="00171C5D" w:rsidRDefault="00171C5D"/>
        </w:tc>
        <w:tc>
          <w:tcPr>
            <w:tcW w:w="0" w:type="auto"/>
          </w:tcPr>
          <w:p w14:paraId="01603B4F" w14:textId="77777777" w:rsidR="00171C5D" w:rsidRDefault="00000000">
            <w:pPr>
              <w:keepNext/>
              <w:spacing w:before="100" w:after="0"/>
              <w:rPr>
                <w:b/>
              </w:rPr>
            </w:pPr>
            <w:r>
              <w:rPr>
                <w:b/>
              </w:rPr>
              <w:t>Goals Supported</w:t>
            </w:r>
          </w:p>
        </w:tc>
        <w:tc>
          <w:tcPr>
            <w:tcW w:w="0" w:type="auto"/>
          </w:tcPr>
          <w:p w14:paraId="63CFEE4F" w14:textId="77777777" w:rsidR="00171C5D" w:rsidRDefault="00000000">
            <w:pPr>
              <w:spacing w:before="100" w:after="0"/>
            </w:pPr>
            <w:r>
              <w:rPr>
                <w:color w:val="000000"/>
              </w:rPr>
              <w:t>Preserve and Increase Affordable Housing</w:t>
            </w:r>
          </w:p>
        </w:tc>
      </w:tr>
      <w:tr w:rsidR="00171C5D" w14:paraId="4028B941" w14:textId="77777777">
        <w:trPr>
          <w:cantSplit/>
        </w:trPr>
        <w:tc>
          <w:tcPr>
            <w:tcW w:w="0" w:type="auto"/>
            <w:vMerge/>
          </w:tcPr>
          <w:p w14:paraId="12C67B87" w14:textId="77777777" w:rsidR="00171C5D" w:rsidRDefault="00171C5D"/>
        </w:tc>
        <w:tc>
          <w:tcPr>
            <w:tcW w:w="0" w:type="auto"/>
          </w:tcPr>
          <w:p w14:paraId="637DA04A" w14:textId="77777777" w:rsidR="00171C5D" w:rsidRDefault="00000000">
            <w:pPr>
              <w:keepNext/>
              <w:spacing w:before="100" w:after="0"/>
              <w:rPr>
                <w:b/>
              </w:rPr>
            </w:pPr>
            <w:r>
              <w:rPr>
                <w:b/>
              </w:rPr>
              <w:t>Needs Addressed</w:t>
            </w:r>
          </w:p>
        </w:tc>
        <w:tc>
          <w:tcPr>
            <w:tcW w:w="0" w:type="auto"/>
          </w:tcPr>
          <w:p w14:paraId="657B2434" w14:textId="77777777" w:rsidR="00171C5D" w:rsidRDefault="00000000">
            <w:pPr>
              <w:spacing w:before="100" w:after="0"/>
            </w:pPr>
            <w:r>
              <w:rPr>
                <w:color w:val="000000"/>
              </w:rPr>
              <w:t>Preserve and Increase Affordable Housing</w:t>
            </w:r>
          </w:p>
        </w:tc>
      </w:tr>
      <w:tr w:rsidR="00171C5D" w14:paraId="0F2C3FF4" w14:textId="77777777">
        <w:trPr>
          <w:cantSplit/>
        </w:trPr>
        <w:tc>
          <w:tcPr>
            <w:tcW w:w="0" w:type="auto"/>
            <w:vMerge/>
          </w:tcPr>
          <w:p w14:paraId="7557CEB2" w14:textId="77777777" w:rsidR="00171C5D" w:rsidRDefault="00171C5D"/>
        </w:tc>
        <w:tc>
          <w:tcPr>
            <w:tcW w:w="0" w:type="auto"/>
          </w:tcPr>
          <w:p w14:paraId="44A18BEF" w14:textId="77777777" w:rsidR="00171C5D" w:rsidRDefault="00000000">
            <w:pPr>
              <w:keepNext/>
              <w:spacing w:before="100" w:after="0"/>
              <w:rPr>
                <w:b/>
              </w:rPr>
            </w:pPr>
            <w:r>
              <w:rPr>
                <w:b/>
              </w:rPr>
              <w:t>Funding</w:t>
            </w:r>
          </w:p>
        </w:tc>
        <w:tc>
          <w:tcPr>
            <w:tcW w:w="0" w:type="auto"/>
          </w:tcPr>
          <w:p w14:paraId="048220AD" w14:textId="77777777" w:rsidR="00171C5D" w:rsidRDefault="00000000">
            <w:pPr>
              <w:spacing w:before="100" w:after="0"/>
            </w:pPr>
            <w:r>
              <w:rPr>
                <w:color w:val="000000"/>
              </w:rPr>
              <w:t>CDBG: $10,089,503.00</w:t>
            </w:r>
            <w:r>
              <w:rPr>
                <w:color w:val="000000"/>
              </w:rPr>
              <w:br/>
              <w:t>HOPWA: $6,853,956.00</w:t>
            </w:r>
            <w:r>
              <w:rPr>
                <w:color w:val="000000"/>
              </w:rPr>
              <w:br/>
              <w:t>HOME: $2,899,565.00</w:t>
            </w:r>
            <w:r>
              <w:rPr>
                <w:color w:val="000000"/>
              </w:rPr>
              <w:br/>
              <w:t>LIHTC: $59,854,633.00</w:t>
            </w:r>
            <w:r>
              <w:rPr>
                <w:color w:val="000000"/>
              </w:rPr>
              <w:br/>
              <w:t>Local funds: $21,313,168.00</w:t>
            </w:r>
            <w:r>
              <w:rPr>
                <w:color w:val="000000"/>
              </w:rPr>
              <w:br/>
              <w:t>Other Federal Funds: $70,669,401.00</w:t>
            </w:r>
            <w:r>
              <w:rPr>
                <w:color w:val="000000"/>
              </w:rPr>
              <w:br/>
              <w:t>Private funds: $64,594,785.00</w:t>
            </w:r>
            <w:r>
              <w:rPr>
                <w:color w:val="000000"/>
              </w:rPr>
              <w:br/>
              <w:t>State funds: $19,698,860.00</w:t>
            </w:r>
          </w:p>
        </w:tc>
      </w:tr>
      <w:tr w:rsidR="00171C5D" w14:paraId="2C12029E" w14:textId="77777777">
        <w:trPr>
          <w:cantSplit/>
        </w:trPr>
        <w:tc>
          <w:tcPr>
            <w:tcW w:w="0" w:type="auto"/>
            <w:vMerge/>
          </w:tcPr>
          <w:p w14:paraId="2F9E2279" w14:textId="77777777" w:rsidR="00171C5D" w:rsidRDefault="00171C5D"/>
        </w:tc>
        <w:tc>
          <w:tcPr>
            <w:tcW w:w="0" w:type="auto"/>
          </w:tcPr>
          <w:p w14:paraId="609D4396" w14:textId="77777777" w:rsidR="00171C5D" w:rsidRDefault="00000000">
            <w:pPr>
              <w:keepNext/>
              <w:spacing w:before="100" w:after="0"/>
              <w:rPr>
                <w:b/>
              </w:rPr>
            </w:pPr>
            <w:r>
              <w:rPr>
                <w:b/>
              </w:rPr>
              <w:t>Description</w:t>
            </w:r>
          </w:p>
        </w:tc>
        <w:tc>
          <w:tcPr>
            <w:tcW w:w="0" w:type="auto"/>
          </w:tcPr>
          <w:p w14:paraId="0C36C436" w14:textId="77777777" w:rsidR="00171C5D" w:rsidRDefault="00000000">
            <w:pPr>
              <w:spacing w:before="100" w:after="0"/>
            </w:pPr>
            <w:r>
              <w:rPr>
                <w:color w:val="000000"/>
              </w:rPr>
              <w:t>New construction of subsidized rental housing (primarily HOME funded units), Substantial rehabilitation of current market rate units to affordable units, including removal of lead and toxins, Rehabilitation of owner-occupied and homebuyer affordable housing, including removal of lead and toxins, Development of affordable new homebuyer housing, Offer homebuyer down-payment assistance, foreclosure assistance, and rental subsistence payments, Support housing and TBRA for Households with a person with AIDS/HIV, Support housing counseling for home purchase, foreclosure assistance, and financial stability and planning. Matric Codes 12, 13A-B, 14A-L, and 05Q-U.</w:t>
            </w:r>
          </w:p>
        </w:tc>
      </w:tr>
      <w:tr w:rsidR="00171C5D" w14:paraId="3F2FC3A2" w14:textId="77777777">
        <w:trPr>
          <w:cantSplit/>
        </w:trPr>
        <w:tc>
          <w:tcPr>
            <w:tcW w:w="0" w:type="auto"/>
            <w:vMerge/>
          </w:tcPr>
          <w:p w14:paraId="49FB2750" w14:textId="77777777" w:rsidR="00171C5D" w:rsidRDefault="00171C5D"/>
        </w:tc>
        <w:tc>
          <w:tcPr>
            <w:tcW w:w="0" w:type="auto"/>
          </w:tcPr>
          <w:p w14:paraId="431FFF94" w14:textId="77777777" w:rsidR="00171C5D" w:rsidRDefault="00000000">
            <w:pPr>
              <w:keepNext/>
              <w:spacing w:before="100" w:after="0"/>
              <w:rPr>
                <w:b/>
              </w:rPr>
            </w:pPr>
            <w:r>
              <w:rPr>
                <w:b/>
              </w:rPr>
              <w:t>Target Date</w:t>
            </w:r>
          </w:p>
        </w:tc>
        <w:tc>
          <w:tcPr>
            <w:tcW w:w="0" w:type="auto"/>
          </w:tcPr>
          <w:p w14:paraId="3D9CB099" w14:textId="77777777" w:rsidR="00171C5D" w:rsidRDefault="00000000">
            <w:pPr>
              <w:spacing w:before="100" w:after="0"/>
            </w:pPr>
            <w:r>
              <w:rPr>
                <w:color w:val="000000"/>
              </w:rPr>
              <w:t>6/30/2026</w:t>
            </w:r>
          </w:p>
        </w:tc>
      </w:tr>
      <w:tr w:rsidR="00171C5D" w14:paraId="64FEA304" w14:textId="77777777">
        <w:trPr>
          <w:cantSplit/>
        </w:trPr>
        <w:tc>
          <w:tcPr>
            <w:tcW w:w="0" w:type="auto"/>
            <w:vMerge/>
          </w:tcPr>
          <w:p w14:paraId="267106D4" w14:textId="77777777" w:rsidR="00171C5D" w:rsidRDefault="00171C5D"/>
        </w:tc>
        <w:tc>
          <w:tcPr>
            <w:tcW w:w="0" w:type="auto"/>
          </w:tcPr>
          <w:p w14:paraId="591FB8D9" w14:textId="77777777" w:rsidR="00171C5D"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310341C3" w14:textId="77777777" w:rsidR="00171C5D" w:rsidRDefault="00000000">
            <w:pPr>
              <w:spacing w:before="100" w:after="0"/>
            </w:pPr>
            <w:r>
              <w:rPr>
                <w:color w:val="000000"/>
              </w:rPr>
              <w:t xml:space="preserve">Approximately 4,000 LMI households will receive public services related to housing needs </w:t>
            </w:r>
            <w:proofErr w:type="gramStart"/>
            <w:r>
              <w:rPr>
                <w:color w:val="000000"/>
              </w:rPr>
              <w:t>including eviction</w:t>
            </w:r>
            <w:proofErr w:type="gramEnd"/>
            <w:r>
              <w:rPr>
                <w:color w:val="000000"/>
              </w:rPr>
              <w:t xml:space="preserve"> prevention, housing counseling for purchase and foreclosure prevention, and lead hazard education. 321 new rental units will be constructed, and 5 rental units will be significantly rehabilitated. 11 new homebuyer units will be constructed, and 457 homeowner occupants will receive assistance with repairs, modifications, and limited rehabilitation. 200 households will receive home purchase assistance incentives.</w:t>
            </w:r>
          </w:p>
        </w:tc>
      </w:tr>
      <w:tr w:rsidR="00171C5D" w14:paraId="49829064" w14:textId="77777777">
        <w:trPr>
          <w:cantSplit/>
        </w:trPr>
        <w:tc>
          <w:tcPr>
            <w:tcW w:w="0" w:type="auto"/>
            <w:vMerge/>
          </w:tcPr>
          <w:p w14:paraId="17C0ADBE" w14:textId="77777777" w:rsidR="00171C5D" w:rsidRDefault="00171C5D"/>
        </w:tc>
        <w:tc>
          <w:tcPr>
            <w:tcW w:w="0" w:type="auto"/>
          </w:tcPr>
          <w:p w14:paraId="55D60AF8" w14:textId="77777777" w:rsidR="00171C5D"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0F6FA7BC" w14:textId="77777777" w:rsidR="00171C5D" w:rsidRDefault="00000000">
            <w:pPr>
              <w:spacing w:before="100" w:after="0"/>
            </w:pPr>
            <w:r>
              <w:rPr>
                <w:color w:val="000000"/>
              </w:rPr>
              <w:t>Various locations throughout the city and especially in the local target areas. See maps in Attachments.</w:t>
            </w:r>
          </w:p>
        </w:tc>
      </w:tr>
      <w:tr w:rsidR="00171C5D" w14:paraId="669C5D05" w14:textId="77777777">
        <w:trPr>
          <w:cantSplit/>
        </w:trPr>
        <w:tc>
          <w:tcPr>
            <w:tcW w:w="0" w:type="auto"/>
            <w:vMerge/>
          </w:tcPr>
          <w:p w14:paraId="30EA35E7" w14:textId="77777777" w:rsidR="00171C5D" w:rsidRDefault="00171C5D"/>
        </w:tc>
        <w:tc>
          <w:tcPr>
            <w:tcW w:w="0" w:type="auto"/>
          </w:tcPr>
          <w:p w14:paraId="2422B623" w14:textId="77777777" w:rsidR="00171C5D"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62B220AC" w14:textId="77777777" w:rsidR="00171C5D" w:rsidRDefault="00000000">
            <w:pPr>
              <w:spacing w:before="100" w:after="0"/>
            </w:pPr>
            <w:r>
              <w:rPr>
                <w:color w:val="000000"/>
              </w:rPr>
              <w:t>New construction of subsidized rental housing (primarily HOME funded units), Substantial rehabilitation of current market rate units to affordable units, including removal of lead and toxins, Rehabilitation of owner-occupied and homebuyer affordable housing, including removal of lead and toxins, Development of affordable new homebuyer housing, Offer homebuyer down-payment assistance, foreclosure assistance, and rental subsistence payments, Support housing counseling for home purchase, foreclosure assistance, and financial stability and planning.</w:t>
            </w:r>
          </w:p>
        </w:tc>
      </w:tr>
      <w:tr w:rsidR="00171C5D" w14:paraId="2A486DC9" w14:textId="77777777">
        <w:trPr>
          <w:cantSplit/>
        </w:trPr>
        <w:tc>
          <w:tcPr>
            <w:tcW w:w="0" w:type="auto"/>
            <w:vMerge w:val="restart"/>
          </w:tcPr>
          <w:p w14:paraId="17A9704C" w14:textId="77777777" w:rsidR="00171C5D" w:rsidRDefault="00000000">
            <w:r>
              <w:rPr>
                <w:b/>
              </w:rPr>
              <w:t>2</w:t>
            </w:r>
          </w:p>
        </w:tc>
        <w:tc>
          <w:tcPr>
            <w:tcW w:w="0" w:type="auto"/>
          </w:tcPr>
          <w:p w14:paraId="5A45C12A" w14:textId="77777777" w:rsidR="00171C5D" w:rsidRDefault="00000000">
            <w:pPr>
              <w:keepNext/>
              <w:spacing w:before="100" w:after="0"/>
              <w:rPr>
                <w:b/>
              </w:rPr>
            </w:pPr>
            <w:r>
              <w:rPr>
                <w:b/>
              </w:rPr>
              <w:t>Project Name</w:t>
            </w:r>
          </w:p>
        </w:tc>
        <w:tc>
          <w:tcPr>
            <w:tcW w:w="0" w:type="auto"/>
          </w:tcPr>
          <w:p w14:paraId="411052E2" w14:textId="77777777" w:rsidR="00171C5D" w:rsidRDefault="00000000">
            <w:pPr>
              <w:spacing w:before="100" w:after="0"/>
            </w:pPr>
            <w:r>
              <w:rPr>
                <w:color w:val="000000"/>
              </w:rPr>
              <w:t>Support homeless shelters and services to the homeless</w:t>
            </w:r>
          </w:p>
        </w:tc>
      </w:tr>
      <w:tr w:rsidR="00171C5D" w14:paraId="296C0D32" w14:textId="77777777">
        <w:trPr>
          <w:cantSplit/>
        </w:trPr>
        <w:tc>
          <w:tcPr>
            <w:tcW w:w="0" w:type="auto"/>
            <w:vMerge/>
          </w:tcPr>
          <w:p w14:paraId="37A88F03" w14:textId="77777777" w:rsidR="00171C5D" w:rsidRDefault="00171C5D"/>
        </w:tc>
        <w:tc>
          <w:tcPr>
            <w:tcW w:w="0" w:type="auto"/>
          </w:tcPr>
          <w:p w14:paraId="58833B82" w14:textId="77777777" w:rsidR="00171C5D" w:rsidRDefault="00000000">
            <w:pPr>
              <w:keepNext/>
              <w:spacing w:before="100" w:after="0"/>
              <w:rPr>
                <w:b/>
              </w:rPr>
            </w:pPr>
            <w:r>
              <w:rPr>
                <w:b/>
              </w:rPr>
              <w:t>Target Area</w:t>
            </w:r>
          </w:p>
        </w:tc>
        <w:tc>
          <w:tcPr>
            <w:tcW w:w="0" w:type="auto"/>
          </w:tcPr>
          <w:p w14:paraId="3D8EC6C3" w14:textId="77777777" w:rsidR="00171C5D" w:rsidRDefault="00000000">
            <w:pPr>
              <w:spacing w:before="100" w:after="0"/>
            </w:pPr>
            <w:r>
              <w:rPr>
                <w:color w:val="000000"/>
              </w:rPr>
              <w:t>City Wide</w:t>
            </w:r>
          </w:p>
        </w:tc>
      </w:tr>
      <w:tr w:rsidR="00171C5D" w14:paraId="75735D72" w14:textId="77777777">
        <w:trPr>
          <w:cantSplit/>
        </w:trPr>
        <w:tc>
          <w:tcPr>
            <w:tcW w:w="0" w:type="auto"/>
            <w:vMerge/>
          </w:tcPr>
          <w:p w14:paraId="3142EF49" w14:textId="77777777" w:rsidR="00171C5D" w:rsidRDefault="00171C5D"/>
        </w:tc>
        <w:tc>
          <w:tcPr>
            <w:tcW w:w="0" w:type="auto"/>
          </w:tcPr>
          <w:p w14:paraId="6FE29F3B" w14:textId="77777777" w:rsidR="00171C5D" w:rsidRDefault="00000000">
            <w:pPr>
              <w:keepNext/>
              <w:spacing w:before="100" w:after="0"/>
              <w:rPr>
                <w:b/>
              </w:rPr>
            </w:pPr>
            <w:r>
              <w:rPr>
                <w:b/>
              </w:rPr>
              <w:t>Goals Supported</w:t>
            </w:r>
          </w:p>
        </w:tc>
        <w:tc>
          <w:tcPr>
            <w:tcW w:w="0" w:type="auto"/>
          </w:tcPr>
          <w:p w14:paraId="640380DC" w14:textId="77777777" w:rsidR="00171C5D" w:rsidRDefault="00000000">
            <w:pPr>
              <w:spacing w:before="100" w:after="0"/>
            </w:pPr>
            <w:r>
              <w:rPr>
                <w:color w:val="000000"/>
              </w:rPr>
              <w:t>Housing and Assistance for homeless people</w:t>
            </w:r>
            <w:r>
              <w:rPr>
                <w:color w:val="000000"/>
              </w:rPr>
              <w:br/>
              <w:t>Research, Planning, and Oversight of Form. Funds</w:t>
            </w:r>
          </w:p>
        </w:tc>
      </w:tr>
      <w:tr w:rsidR="00171C5D" w14:paraId="31CF953E" w14:textId="77777777">
        <w:trPr>
          <w:cantSplit/>
        </w:trPr>
        <w:tc>
          <w:tcPr>
            <w:tcW w:w="0" w:type="auto"/>
            <w:vMerge/>
          </w:tcPr>
          <w:p w14:paraId="65D4E356" w14:textId="77777777" w:rsidR="00171C5D" w:rsidRDefault="00171C5D"/>
        </w:tc>
        <w:tc>
          <w:tcPr>
            <w:tcW w:w="0" w:type="auto"/>
          </w:tcPr>
          <w:p w14:paraId="33223D13" w14:textId="77777777" w:rsidR="00171C5D" w:rsidRDefault="00000000">
            <w:pPr>
              <w:keepNext/>
              <w:spacing w:before="100" w:after="0"/>
              <w:rPr>
                <w:b/>
              </w:rPr>
            </w:pPr>
            <w:r>
              <w:rPr>
                <w:b/>
              </w:rPr>
              <w:t>Needs Addressed</w:t>
            </w:r>
          </w:p>
        </w:tc>
        <w:tc>
          <w:tcPr>
            <w:tcW w:w="0" w:type="auto"/>
          </w:tcPr>
          <w:p w14:paraId="438DCBC8" w14:textId="77777777" w:rsidR="00171C5D" w:rsidRDefault="00000000">
            <w:pPr>
              <w:spacing w:before="100" w:after="0"/>
            </w:pPr>
            <w:r>
              <w:rPr>
                <w:color w:val="000000"/>
              </w:rPr>
              <w:t>Housing &amp; Services to Homeless</w:t>
            </w:r>
            <w:r>
              <w:rPr>
                <w:color w:val="000000"/>
              </w:rPr>
              <w:br/>
              <w:t>Effective and Efficient Planning &amp; Administration</w:t>
            </w:r>
          </w:p>
        </w:tc>
      </w:tr>
      <w:tr w:rsidR="00171C5D" w14:paraId="711E40D4" w14:textId="77777777">
        <w:trPr>
          <w:cantSplit/>
        </w:trPr>
        <w:tc>
          <w:tcPr>
            <w:tcW w:w="0" w:type="auto"/>
            <w:vMerge/>
          </w:tcPr>
          <w:p w14:paraId="039D4059" w14:textId="77777777" w:rsidR="00171C5D" w:rsidRDefault="00171C5D"/>
        </w:tc>
        <w:tc>
          <w:tcPr>
            <w:tcW w:w="0" w:type="auto"/>
          </w:tcPr>
          <w:p w14:paraId="42BA3B1F" w14:textId="77777777" w:rsidR="00171C5D" w:rsidRDefault="00000000">
            <w:pPr>
              <w:keepNext/>
              <w:spacing w:before="100" w:after="0"/>
              <w:rPr>
                <w:b/>
              </w:rPr>
            </w:pPr>
            <w:r>
              <w:rPr>
                <w:b/>
              </w:rPr>
              <w:t>Funding</w:t>
            </w:r>
          </w:p>
        </w:tc>
        <w:tc>
          <w:tcPr>
            <w:tcW w:w="0" w:type="auto"/>
          </w:tcPr>
          <w:p w14:paraId="7D7AF537" w14:textId="77777777" w:rsidR="00171C5D" w:rsidRDefault="00000000">
            <w:pPr>
              <w:spacing w:before="100" w:after="0"/>
            </w:pPr>
            <w:r>
              <w:rPr>
                <w:color w:val="000000"/>
              </w:rPr>
              <w:t>CDBG: $2,336,795.00</w:t>
            </w:r>
            <w:r>
              <w:rPr>
                <w:color w:val="000000"/>
              </w:rPr>
              <w:br/>
              <w:t>ESG: $1,824,257.00</w:t>
            </w:r>
            <w:r>
              <w:rPr>
                <w:color w:val="000000"/>
              </w:rPr>
              <w:br/>
              <w:t>Local funds: $15,159,918.00</w:t>
            </w:r>
            <w:r>
              <w:rPr>
                <w:color w:val="000000"/>
              </w:rPr>
              <w:br/>
              <w:t>Other Federal Funds: $2,196,572.00</w:t>
            </w:r>
            <w:r>
              <w:rPr>
                <w:color w:val="000000"/>
              </w:rPr>
              <w:br/>
              <w:t>Private funds: $1,710,366.00</w:t>
            </w:r>
            <w:r>
              <w:rPr>
                <w:color w:val="000000"/>
              </w:rPr>
              <w:br/>
              <w:t>State funds: $1,550,684.00</w:t>
            </w:r>
          </w:p>
        </w:tc>
      </w:tr>
      <w:tr w:rsidR="00171C5D" w14:paraId="0E370949" w14:textId="77777777">
        <w:trPr>
          <w:cantSplit/>
        </w:trPr>
        <w:tc>
          <w:tcPr>
            <w:tcW w:w="0" w:type="auto"/>
            <w:vMerge/>
          </w:tcPr>
          <w:p w14:paraId="30A9FCFA" w14:textId="77777777" w:rsidR="00171C5D" w:rsidRDefault="00171C5D"/>
        </w:tc>
        <w:tc>
          <w:tcPr>
            <w:tcW w:w="0" w:type="auto"/>
          </w:tcPr>
          <w:p w14:paraId="045AD552" w14:textId="77777777" w:rsidR="00171C5D" w:rsidRDefault="00000000">
            <w:pPr>
              <w:keepNext/>
              <w:spacing w:before="100" w:after="0"/>
              <w:rPr>
                <w:b/>
              </w:rPr>
            </w:pPr>
            <w:r>
              <w:rPr>
                <w:b/>
              </w:rPr>
              <w:t>Description</w:t>
            </w:r>
          </w:p>
        </w:tc>
        <w:tc>
          <w:tcPr>
            <w:tcW w:w="0" w:type="auto"/>
          </w:tcPr>
          <w:p w14:paraId="2BB65DBE" w14:textId="77777777" w:rsidR="00171C5D" w:rsidRDefault="00000000">
            <w:pPr>
              <w:spacing w:before="100" w:after="0"/>
            </w:pPr>
            <w:r>
              <w:rPr>
                <w:color w:val="000000"/>
              </w:rPr>
              <w:t xml:space="preserve">Provide Housing Interventions for People experiencing homelessness and At-Risk of Experiencing </w:t>
            </w:r>
            <w:proofErr w:type="spellStart"/>
            <w:r>
              <w:rPr>
                <w:color w:val="000000"/>
              </w:rPr>
              <w:t>HomelessnessProvide</w:t>
            </w:r>
            <w:proofErr w:type="spellEnd"/>
            <w:r>
              <w:rPr>
                <w:color w:val="000000"/>
              </w:rPr>
              <w:t xml:space="preserve"> permanent supportive housing and services for people transitioning from foster care, living on the street or unstably </w:t>
            </w:r>
            <w:proofErr w:type="spellStart"/>
            <w:r>
              <w:rPr>
                <w:color w:val="000000"/>
              </w:rPr>
              <w:t>housed.Support</w:t>
            </w:r>
            <w:proofErr w:type="spellEnd"/>
            <w:r>
              <w:rPr>
                <w:color w:val="000000"/>
              </w:rPr>
              <w:t xml:space="preserve"> housing for homeless </w:t>
            </w:r>
            <w:proofErr w:type="spellStart"/>
            <w:r>
              <w:rPr>
                <w:color w:val="000000"/>
              </w:rPr>
              <w:t>veteransContinue</w:t>
            </w:r>
            <w:proofErr w:type="spellEnd"/>
            <w:r>
              <w:rPr>
                <w:color w:val="000000"/>
              </w:rPr>
              <w:t xml:space="preserve"> with the Housing First program for chronic homeless and homeless persons, Continuum of Care and provide assistance to clients for utility and rental arrearages to avoid the risk of </w:t>
            </w:r>
            <w:proofErr w:type="spellStart"/>
            <w:r>
              <w:rPr>
                <w:color w:val="000000"/>
              </w:rPr>
              <w:t>homelessness.Fund</w:t>
            </w:r>
            <w:proofErr w:type="spellEnd"/>
            <w:r>
              <w:rPr>
                <w:color w:val="000000"/>
              </w:rPr>
              <w:t xml:space="preserve"> homeless shelters through the Continuum of Care and </w:t>
            </w:r>
            <w:proofErr w:type="spellStart"/>
            <w:r>
              <w:rPr>
                <w:color w:val="000000"/>
              </w:rPr>
              <w:t>MOHSProvide</w:t>
            </w:r>
            <w:proofErr w:type="spellEnd"/>
            <w:r>
              <w:rPr>
                <w:color w:val="000000"/>
              </w:rPr>
              <w:t xml:space="preserve"> permanent and transitional housing as well as comprehensive services to homeless persons and </w:t>
            </w:r>
            <w:proofErr w:type="spellStart"/>
            <w:r>
              <w:rPr>
                <w:color w:val="000000"/>
              </w:rPr>
              <w:t>families.Provide</w:t>
            </w:r>
            <w:proofErr w:type="spellEnd"/>
            <w:r>
              <w:rPr>
                <w:color w:val="000000"/>
              </w:rPr>
              <w:t xml:space="preserve"> Homelessness Prevention </w:t>
            </w:r>
            <w:proofErr w:type="spellStart"/>
            <w:r>
              <w:rPr>
                <w:color w:val="000000"/>
              </w:rPr>
              <w:t>servicesProvide</w:t>
            </w:r>
            <w:proofErr w:type="spellEnd"/>
            <w:r>
              <w:rPr>
                <w:color w:val="000000"/>
              </w:rPr>
              <w:t xml:space="preserve"> Rapid Rehousing </w:t>
            </w:r>
            <w:proofErr w:type="spellStart"/>
            <w:r>
              <w:rPr>
                <w:color w:val="000000"/>
              </w:rPr>
              <w:t>servicesProvide</w:t>
            </w:r>
            <w:proofErr w:type="spellEnd"/>
            <w:r>
              <w:rPr>
                <w:color w:val="000000"/>
              </w:rPr>
              <w:t xml:space="preserve"> medical services and shelter to ill and frail </w:t>
            </w:r>
            <w:proofErr w:type="spellStart"/>
            <w:r>
              <w:rPr>
                <w:color w:val="000000"/>
              </w:rPr>
              <w:t>homelessProvide</w:t>
            </w:r>
            <w:proofErr w:type="spellEnd"/>
            <w:r>
              <w:rPr>
                <w:color w:val="000000"/>
              </w:rPr>
              <w:t xml:space="preserve"> Direct outreach to </w:t>
            </w:r>
            <w:proofErr w:type="spellStart"/>
            <w:r>
              <w:rPr>
                <w:color w:val="000000"/>
              </w:rPr>
              <w:t>HomelessProvide</w:t>
            </w:r>
            <w:proofErr w:type="spellEnd"/>
            <w:r>
              <w:rPr>
                <w:color w:val="000000"/>
              </w:rPr>
              <w:t xml:space="preserve"> Day Services</w:t>
            </w:r>
          </w:p>
        </w:tc>
      </w:tr>
      <w:tr w:rsidR="00171C5D" w14:paraId="1DDA3590" w14:textId="77777777">
        <w:trPr>
          <w:cantSplit/>
        </w:trPr>
        <w:tc>
          <w:tcPr>
            <w:tcW w:w="0" w:type="auto"/>
            <w:vMerge/>
          </w:tcPr>
          <w:p w14:paraId="706BDF07" w14:textId="77777777" w:rsidR="00171C5D" w:rsidRDefault="00171C5D"/>
        </w:tc>
        <w:tc>
          <w:tcPr>
            <w:tcW w:w="0" w:type="auto"/>
          </w:tcPr>
          <w:p w14:paraId="75580182" w14:textId="77777777" w:rsidR="00171C5D" w:rsidRDefault="00000000">
            <w:pPr>
              <w:keepNext/>
              <w:spacing w:before="100" w:after="0"/>
              <w:rPr>
                <w:b/>
              </w:rPr>
            </w:pPr>
            <w:r>
              <w:rPr>
                <w:b/>
              </w:rPr>
              <w:t>Target Date</w:t>
            </w:r>
          </w:p>
        </w:tc>
        <w:tc>
          <w:tcPr>
            <w:tcW w:w="0" w:type="auto"/>
          </w:tcPr>
          <w:p w14:paraId="4C3EBCB4" w14:textId="77777777" w:rsidR="00171C5D" w:rsidRDefault="00000000">
            <w:pPr>
              <w:spacing w:before="100" w:after="0"/>
            </w:pPr>
            <w:r>
              <w:rPr>
                <w:color w:val="000000"/>
              </w:rPr>
              <w:t>6/30/2026</w:t>
            </w:r>
          </w:p>
        </w:tc>
      </w:tr>
      <w:tr w:rsidR="00171C5D" w14:paraId="06133ED5" w14:textId="77777777">
        <w:trPr>
          <w:cantSplit/>
        </w:trPr>
        <w:tc>
          <w:tcPr>
            <w:tcW w:w="0" w:type="auto"/>
            <w:vMerge/>
          </w:tcPr>
          <w:p w14:paraId="57458591" w14:textId="77777777" w:rsidR="00171C5D" w:rsidRDefault="00171C5D"/>
        </w:tc>
        <w:tc>
          <w:tcPr>
            <w:tcW w:w="0" w:type="auto"/>
          </w:tcPr>
          <w:p w14:paraId="2121E49E" w14:textId="77777777" w:rsidR="00171C5D"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2C4C4C2E" w14:textId="77777777" w:rsidR="00171C5D" w:rsidRDefault="00000000">
            <w:pPr>
              <w:spacing w:before="100" w:after="0"/>
            </w:pPr>
            <w:r>
              <w:rPr>
                <w:color w:val="000000"/>
              </w:rPr>
              <w:t xml:space="preserve">762 homeless </w:t>
            </w:r>
            <w:proofErr w:type="gramStart"/>
            <w:r>
              <w:rPr>
                <w:color w:val="000000"/>
              </w:rPr>
              <w:t>persons</w:t>
            </w:r>
            <w:proofErr w:type="gramEnd"/>
            <w:r>
              <w:rPr>
                <w:color w:val="000000"/>
              </w:rPr>
              <w:t xml:space="preserve"> will be housed overnight in homeless shelters. 1510 households will receive services and/or cash assistance to prevent eviction and homelessness. 1715 households will receive public services related to housing. 220 households will be served in longer term homelessness prevention efforts such as PSH.</w:t>
            </w:r>
          </w:p>
        </w:tc>
      </w:tr>
      <w:tr w:rsidR="00171C5D" w14:paraId="1B38B049" w14:textId="77777777">
        <w:trPr>
          <w:cantSplit/>
        </w:trPr>
        <w:tc>
          <w:tcPr>
            <w:tcW w:w="0" w:type="auto"/>
            <w:vMerge/>
          </w:tcPr>
          <w:p w14:paraId="2B5E14BF" w14:textId="77777777" w:rsidR="00171C5D" w:rsidRDefault="00171C5D"/>
        </w:tc>
        <w:tc>
          <w:tcPr>
            <w:tcW w:w="0" w:type="auto"/>
          </w:tcPr>
          <w:p w14:paraId="534EB309" w14:textId="77777777" w:rsidR="00171C5D"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0D373D55" w14:textId="77777777" w:rsidR="00171C5D" w:rsidRDefault="00000000">
            <w:pPr>
              <w:spacing w:before="100" w:after="0"/>
            </w:pPr>
            <w:r>
              <w:rPr>
                <w:color w:val="000000"/>
              </w:rPr>
              <w:t xml:space="preserve">Facilities and services for homeless </w:t>
            </w:r>
            <w:proofErr w:type="gramStart"/>
            <w:r>
              <w:rPr>
                <w:color w:val="000000"/>
              </w:rPr>
              <w:t>persons</w:t>
            </w:r>
            <w:proofErr w:type="gramEnd"/>
            <w:r>
              <w:rPr>
                <w:color w:val="000000"/>
              </w:rPr>
              <w:t xml:space="preserve"> are distributed through most of the city.</w:t>
            </w:r>
          </w:p>
        </w:tc>
      </w:tr>
      <w:tr w:rsidR="00171C5D" w14:paraId="6C5E8DE7" w14:textId="77777777">
        <w:trPr>
          <w:cantSplit/>
        </w:trPr>
        <w:tc>
          <w:tcPr>
            <w:tcW w:w="0" w:type="auto"/>
            <w:vMerge/>
          </w:tcPr>
          <w:p w14:paraId="68CFA228" w14:textId="77777777" w:rsidR="00171C5D" w:rsidRDefault="00171C5D"/>
        </w:tc>
        <w:tc>
          <w:tcPr>
            <w:tcW w:w="0" w:type="auto"/>
          </w:tcPr>
          <w:p w14:paraId="008CB6DF" w14:textId="77777777" w:rsidR="00171C5D"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3150306D" w14:textId="77777777" w:rsidR="00171C5D" w:rsidRDefault="00000000">
            <w:pPr>
              <w:spacing w:before="100" w:after="0"/>
            </w:pPr>
            <w:r>
              <w:rPr>
                <w:color w:val="000000"/>
              </w:rPr>
              <w:t>Housing and services for the homeless and those at risk of homelessness.</w:t>
            </w:r>
          </w:p>
        </w:tc>
      </w:tr>
      <w:tr w:rsidR="00171C5D" w14:paraId="341B0FDD" w14:textId="77777777">
        <w:trPr>
          <w:cantSplit/>
        </w:trPr>
        <w:tc>
          <w:tcPr>
            <w:tcW w:w="0" w:type="auto"/>
            <w:vMerge w:val="restart"/>
          </w:tcPr>
          <w:p w14:paraId="0276C721" w14:textId="77777777" w:rsidR="00171C5D" w:rsidRDefault="00000000">
            <w:r>
              <w:rPr>
                <w:b/>
              </w:rPr>
              <w:t>3</w:t>
            </w:r>
          </w:p>
        </w:tc>
        <w:tc>
          <w:tcPr>
            <w:tcW w:w="0" w:type="auto"/>
          </w:tcPr>
          <w:p w14:paraId="21C1DD96" w14:textId="77777777" w:rsidR="00171C5D" w:rsidRDefault="00000000">
            <w:pPr>
              <w:keepNext/>
              <w:spacing w:before="100" w:after="0"/>
              <w:rPr>
                <w:b/>
              </w:rPr>
            </w:pPr>
            <w:r>
              <w:rPr>
                <w:b/>
              </w:rPr>
              <w:t>Project Name</w:t>
            </w:r>
          </w:p>
        </w:tc>
        <w:tc>
          <w:tcPr>
            <w:tcW w:w="0" w:type="auto"/>
          </w:tcPr>
          <w:p w14:paraId="255E777F" w14:textId="77777777" w:rsidR="00171C5D" w:rsidRDefault="00000000">
            <w:pPr>
              <w:spacing w:before="100" w:after="0"/>
            </w:pPr>
            <w:r>
              <w:rPr>
                <w:color w:val="000000"/>
              </w:rPr>
              <w:t>Support Vital Supportive Services</w:t>
            </w:r>
          </w:p>
        </w:tc>
      </w:tr>
      <w:tr w:rsidR="00171C5D" w14:paraId="176C533A" w14:textId="77777777">
        <w:trPr>
          <w:cantSplit/>
        </w:trPr>
        <w:tc>
          <w:tcPr>
            <w:tcW w:w="0" w:type="auto"/>
            <w:vMerge/>
          </w:tcPr>
          <w:p w14:paraId="0D3C6B21" w14:textId="77777777" w:rsidR="00171C5D" w:rsidRDefault="00171C5D"/>
        </w:tc>
        <w:tc>
          <w:tcPr>
            <w:tcW w:w="0" w:type="auto"/>
          </w:tcPr>
          <w:p w14:paraId="61E67C4C" w14:textId="77777777" w:rsidR="00171C5D" w:rsidRDefault="00000000">
            <w:pPr>
              <w:keepNext/>
              <w:spacing w:before="100" w:after="0"/>
              <w:rPr>
                <w:b/>
              </w:rPr>
            </w:pPr>
            <w:r>
              <w:rPr>
                <w:b/>
              </w:rPr>
              <w:t>Target Area</w:t>
            </w:r>
          </w:p>
        </w:tc>
        <w:tc>
          <w:tcPr>
            <w:tcW w:w="0" w:type="auto"/>
          </w:tcPr>
          <w:p w14:paraId="623B48FF" w14:textId="77777777" w:rsidR="00171C5D" w:rsidRDefault="00000000">
            <w:pPr>
              <w:spacing w:before="100" w:after="0"/>
            </w:pPr>
            <w:r>
              <w:rPr>
                <w:color w:val="000000"/>
              </w:rPr>
              <w:t>City Wide</w:t>
            </w:r>
            <w:r>
              <w:rPr>
                <w:color w:val="000000"/>
              </w:rPr>
              <w:br/>
              <w:t xml:space="preserve">Low </w:t>
            </w:r>
            <w:proofErr w:type="gramStart"/>
            <w:r>
              <w:rPr>
                <w:color w:val="000000"/>
              </w:rPr>
              <w:t>Moderate Income</w:t>
            </w:r>
            <w:proofErr w:type="gramEnd"/>
            <w:r>
              <w:rPr>
                <w:color w:val="000000"/>
              </w:rPr>
              <w:t xml:space="preserve"> Areas</w:t>
            </w:r>
            <w:r>
              <w:rPr>
                <w:color w:val="000000"/>
              </w:rPr>
              <w:br/>
              <w:t>Vacancy Reduction Priority Geographies</w:t>
            </w:r>
          </w:p>
        </w:tc>
      </w:tr>
      <w:tr w:rsidR="00171C5D" w14:paraId="44F3D71B" w14:textId="77777777">
        <w:trPr>
          <w:cantSplit/>
        </w:trPr>
        <w:tc>
          <w:tcPr>
            <w:tcW w:w="0" w:type="auto"/>
            <w:vMerge/>
          </w:tcPr>
          <w:p w14:paraId="31C1A3D3" w14:textId="77777777" w:rsidR="00171C5D" w:rsidRDefault="00171C5D"/>
        </w:tc>
        <w:tc>
          <w:tcPr>
            <w:tcW w:w="0" w:type="auto"/>
          </w:tcPr>
          <w:p w14:paraId="6CB6A1A1" w14:textId="77777777" w:rsidR="00171C5D" w:rsidRDefault="00000000">
            <w:pPr>
              <w:keepNext/>
              <w:spacing w:before="100" w:after="0"/>
              <w:rPr>
                <w:b/>
              </w:rPr>
            </w:pPr>
            <w:r>
              <w:rPr>
                <w:b/>
              </w:rPr>
              <w:t>Goals Supported</w:t>
            </w:r>
          </w:p>
        </w:tc>
        <w:tc>
          <w:tcPr>
            <w:tcW w:w="0" w:type="auto"/>
          </w:tcPr>
          <w:p w14:paraId="35637E5F" w14:textId="77777777" w:rsidR="00171C5D" w:rsidRDefault="00000000">
            <w:pPr>
              <w:spacing w:before="100" w:after="0"/>
            </w:pPr>
            <w:r>
              <w:rPr>
                <w:color w:val="000000"/>
              </w:rPr>
              <w:t>Support Vital Supportive Services</w:t>
            </w:r>
          </w:p>
        </w:tc>
      </w:tr>
      <w:tr w:rsidR="00171C5D" w14:paraId="61588658" w14:textId="77777777">
        <w:trPr>
          <w:cantSplit/>
        </w:trPr>
        <w:tc>
          <w:tcPr>
            <w:tcW w:w="0" w:type="auto"/>
            <w:vMerge/>
          </w:tcPr>
          <w:p w14:paraId="5990036B" w14:textId="77777777" w:rsidR="00171C5D" w:rsidRDefault="00171C5D"/>
        </w:tc>
        <w:tc>
          <w:tcPr>
            <w:tcW w:w="0" w:type="auto"/>
          </w:tcPr>
          <w:p w14:paraId="04E00D32" w14:textId="77777777" w:rsidR="00171C5D" w:rsidRDefault="00000000">
            <w:pPr>
              <w:keepNext/>
              <w:spacing w:before="100" w:after="0"/>
              <w:rPr>
                <w:b/>
              </w:rPr>
            </w:pPr>
            <w:r>
              <w:rPr>
                <w:b/>
              </w:rPr>
              <w:t>Needs Addressed</w:t>
            </w:r>
          </w:p>
        </w:tc>
        <w:tc>
          <w:tcPr>
            <w:tcW w:w="0" w:type="auto"/>
          </w:tcPr>
          <w:p w14:paraId="2266EB2B" w14:textId="77777777" w:rsidR="00171C5D" w:rsidRDefault="00000000">
            <w:pPr>
              <w:spacing w:before="100" w:after="0"/>
            </w:pPr>
            <w:r>
              <w:rPr>
                <w:color w:val="000000"/>
              </w:rPr>
              <w:t>Vital Social, Econ. &amp; Comm. Development Services</w:t>
            </w:r>
          </w:p>
        </w:tc>
      </w:tr>
      <w:tr w:rsidR="00171C5D" w14:paraId="6537732D" w14:textId="77777777">
        <w:trPr>
          <w:cantSplit/>
        </w:trPr>
        <w:tc>
          <w:tcPr>
            <w:tcW w:w="0" w:type="auto"/>
            <w:vMerge/>
          </w:tcPr>
          <w:p w14:paraId="1C26C0E0" w14:textId="77777777" w:rsidR="00171C5D" w:rsidRDefault="00171C5D"/>
        </w:tc>
        <w:tc>
          <w:tcPr>
            <w:tcW w:w="0" w:type="auto"/>
          </w:tcPr>
          <w:p w14:paraId="15C2223A" w14:textId="77777777" w:rsidR="00171C5D" w:rsidRDefault="00000000">
            <w:pPr>
              <w:keepNext/>
              <w:spacing w:before="100" w:after="0"/>
              <w:rPr>
                <w:b/>
              </w:rPr>
            </w:pPr>
            <w:r>
              <w:rPr>
                <w:b/>
              </w:rPr>
              <w:t>Funding</w:t>
            </w:r>
          </w:p>
        </w:tc>
        <w:tc>
          <w:tcPr>
            <w:tcW w:w="0" w:type="auto"/>
          </w:tcPr>
          <w:p w14:paraId="53A7BE2C" w14:textId="77777777" w:rsidR="00171C5D" w:rsidRDefault="00000000">
            <w:pPr>
              <w:spacing w:before="100" w:after="0"/>
            </w:pPr>
            <w:r>
              <w:rPr>
                <w:color w:val="000000"/>
              </w:rPr>
              <w:t>CDBG: $3,917,159.00</w:t>
            </w:r>
            <w:r>
              <w:rPr>
                <w:color w:val="000000"/>
              </w:rPr>
              <w:br/>
              <w:t>Local funds: $995,719.00</w:t>
            </w:r>
            <w:r>
              <w:rPr>
                <w:color w:val="000000"/>
              </w:rPr>
              <w:br/>
              <w:t>Other Federal Funds: $4,407,443.00</w:t>
            </w:r>
            <w:r>
              <w:rPr>
                <w:color w:val="000000"/>
              </w:rPr>
              <w:br/>
              <w:t>Private funds: $6,353,101.00</w:t>
            </w:r>
            <w:r>
              <w:rPr>
                <w:color w:val="000000"/>
              </w:rPr>
              <w:br/>
              <w:t>State funds: $2,846,971.00</w:t>
            </w:r>
          </w:p>
        </w:tc>
      </w:tr>
      <w:tr w:rsidR="00171C5D" w14:paraId="24BEDE15" w14:textId="77777777">
        <w:trPr>
          <w:cantSplit/>
        </w:trPr>
        <w:tc>
          <w:tcPr>
            <w:tcW w:w="0" w:type="auto"/>
            <w:vMerge/>
          </w:tcPr>
          <w:p w14:paraId="1B4A7358" w14:textId="77777777" w:rsidR="00171C5D" w:rsidRDefault="00171C5D"/>
        </w:tc>
        <w:tc>
          <w:tcPr>
            <w:tcW w:w="0" w:type="auto"/>
          </w:tcPr>
          <w:p w14:paraId="1237C353" w14:textId="77777777" w:rsidR="00171C5D" w:rsidRDefault="00000000">
            <w:pPr>
              <w:keepNext/>
              <w:spacing w:before="100" w:after="0"/>
              <w:rPr>
                <w:b/>
              </w:rPr>
            </w:pPr>
            <w:r>
              <w:rPr>
                <w:b/>
              </w:rPr>
              <w:t>Description</w:t>
            </w:r>
          </w:p>
        </w:tc>
        <w:tc>
          <w:tcPr>
            <w:tcW w:w="0" w:type="auto"/>
          </w:tcPr>
          <w:p w14:paraId="004CFE27" w14:textId="77777777" w:rsidR="00171C5D" w:rsidRDefault="00000000">
            <w:pPr>
              <w:spacing w:before="100" w:after="0"/>
            </w:pPr>
            <w:r>
              <w:rPr>
                <w:color w:val="000000"/>
              </w:rPr>
              <w:t>Various public services that are vital to improving quality of life. 05 Matrix codes.</w:t>
            </w:r>
          </w:p>
        </w:tc>
      </w:tr>
      <w:tr w:rsidR="00171C5D" w14:paraId="66B1EBAA" w14:textId="77777777">
        <w:trPr>
          <w:cantSplit/>
        </w:trPr>
        <w:tc>
          <w:tcPr>
            <w:tcW w:w="0" w:type="auto"/>
            <w:vMerge/>
          </w:tcPr>
          <w:p w14:paraId="495AA325" w14:textId="77777777" w:rsidR="00171C5D" w:rsidRDefault="00171C5D"/>
        </w:tc>
        <w:tc>
          <w:tcPr>
            <w:tcW w:w="0" w:type="auto"/>
          </w:tcPr>
          <w:p w14:paraId="3531B0A9" w14:textId="77777777" w:rsidR="00171C5D" w:rsidRDefault="00000000">
            <w:pPr>
              <w:keepNext/>
              <w:spacing w:before="100" w:after="0"/>
              <w:rPr>
                <w:b/>
              </w:rPr>
            </w:pPr>
            <w:r>
              <w:rPr>
                <w:b/>
              </w:rPr>
              <w:t>Target Date</w:t>
            </w:r>
          </w:p>
        </w:tc>
        <w:tc>
          <w:tcPr>
            <w:tcW w:w="0" w:type="auto"/>
          </w:tcPr>
          <w:p w14:paraId="4E5324A7" w14:textId="77777777" w:rsidR="00171C5D" w:rsidRDefault="00000000">
            <w:pPr>
              <w:spacing w:before="100" w:after="0"/>
            </w:pPr>
            <w:r>
              <w:rPr>
                <w:color w:val="000000"/>
              </w:rPr>
              <w:t>6/30/2026</w:t>
            </w:r>
          </w:p>
        </w:tc>
      </w:tr>
      <w:tr w:rsidR="00171C5D" w14:paraId="0419F571" w14:textId="77777777">
        <w:trPr>
          <w:cantSplit/>
        </w:trPr>
        <w:tc>
          <w:tcPr>
            <w:tcW w:w="0" w:type="auto"/>
            <w:vMerge/>
          </w:tcPr>
          <w:p w14:paraId="52AAC028" w14:textId="77777777" w:rsidR="00171C5D" w:rsidRDefault="00171C5D"/>
        </w:tc>
        <w:tc>
          <w:tcPr>
            <w:tcW w:w="0" w:type="auto"/>
          </w:tcPr>
          <w:p w14:paraId="7B9AB1D8" w14:textId="77777777" w:rsidR="00171C5D"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78A59A36" w14:textId="77777777" w:rsidR="00171C5D" w:rsidRDefault="00000000">
            <w:pPr>
              <w:spacing w:before="100" w:after="0"/>
            </w:pPr>
            <w:r>
              <w:rPr>
                <w:color w:val="000000"/>
              </w:rPr>
              <w:t xml:space="preserve">Approximate 134,000 LMI households and </w:t>
            </w:r>
            <w:proofErr w:type="gramStart"/>
            <w:r>
              <w:rPr>
                <w:color w:val="000000"/>
              </w:rPr>
              <w:t>persons</w:t>
            </w:r>
            <w:proofErr w:type="gramEnd"/>
            <w:r>
              <w:rPr>
                <w:color w:val="000000"/>
              </w:rPr>
              <w:t xml:space="preserve"> will be assisted with non-housing related services. </w:t>
            </w:r>
          </w:p>
        </w:tc>
      </w:tr>
      <w:tr w:rsidR="00171C5D" w14:paraId="3F370CB9" w14:textId="77777777">
        <w:trPr>
          <w:cantSplit/>
        </w:trPr>
        <w:tc>
          <w:tcPr>
            <w:tcW w:w="0" w:type="auto"/>
            <w:vMerge/>
          </w:tcPr>
          <w:p w14:paraId="72E9B236" w14:textId="77777777" w:rsidR="00171C5D" w:rsidRDefault="00171C5D"/>
        </w:tc>
        <w:tc>
          <w:tcPr>
            <w:tcW w:w="0" w:type="auto"/>
          </w:tcPr>
          <w:p w14:paraId="0A66AA5F" w14:textId="77777777" w:rsidR="00171C5D"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FA2AF98" w14:textId="77777777" w:rsidR="00171C5D" w:rsidRDefault="00000000">
            <w:pPr>
              <w:spacing w:before="100" w:after="0"/>
            </w:pPr>
            <w:r>
              <w:rPr>
                <w:color w:val="000000"/>
              </w:rPr>
              <w:t>These various services are distributed throughout the city, and especially in low-moderate income areas.</w:t>
            </w:r>
          </w:p>
        </w:tc>
      </w:tr>
      <w:tr w:rsidR="00171C5D" w14:paraId="4BDE2B39" w14:textId="77777777">
        <w:trPr>
          <w:cantSplit/>
        </w:trPr>
        <w:tc>
          <w:tcPr>
            <w:tcW w:w="0" w:type="auto"/>
            <w:vMerge/>
          </w:tcPr>
          <w:p w14:paraId="3DEFD905" w14:textId="77777777" w:rsidR="00171C5D" w:rsidRDefault="00171C5D"/>
        </w:tc>
        <w:tc>
          <w:tcPr>
            <w:tcW w:w="0" w:type="auto"/>
          </w:tcPr>
          <w:p w14:paraId="3565570E" w14:textId="77777777" w:rsidR="00171C5D"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0BC97D72" w14:textId="77777777" w:rsidR="00171C5D" w:rsidRDefault="00000000">
            <w:pPr>
              <w:spacing w:before="100" w:after="0"/>
            </w:pPr>
            <w:r>
              <w:rPr>
                <w:color w:val="000000"/>
              </w:rPr>
              <w:t>A wide range of activities fall in this project category, including senior services, youth services, health services, legal services, fair housing services, and crime prevention services. </w:t>
            </w:r>
          </w:p>
        </w:tc>
      </w:tr>
      <w:tr w:rsidR="00171C5D" w14:paraId="3762E600" w14:textId="77777777">
        <w:trPr>
          <w:cantSplit/>
        </w:trPr>
        <w:tc>
          <w:tcPr>
            <w:tcW w:w="0" w:type="auto"/>
            <w:vMerge w:val="restart"/>
          </w:tcPr>
          <w:p w14:paraId="252CF503" w14:textId="77777777" w:rsidR="00171C5D" w:rsidRDefault="00000000">
            <w:r>
              <w:rPr>
                <w:b/>
              </w:rPr>
              <w:t>4</w:t>
            </w:r>
          </w:p>
        </w:tc>
        <w:tc>
          <w:tcPr>
            <w:tcW w:w="0" w:type="auto"/>
          </w:tcPr>
          <w:p w14:paraId="48C03C9F" w14:textId="77777777" w:rsidR="00171C5D" w:rsidRDefault="00000000">
            <w:pPr>
              <w:keepNext/>
              <w:spacing w:before="100" w:after="0"/>
              <w:rPr>
                <w:b/>
              </w:rPr>
            </w:pPr>
            <w:r>
              <w:rPr>
                <w:b/>
              </w:rPr>
              <w:t>Project Name</w:t>
            </w:r>
          </w:p>
        </w:tc>
        <w:tc>
          <w:tcPr>
            <w:tcW w:w="0" w:type="auto"/>
          </w:tcPr>
          <w:p w14:paraId="11E27303" w14:textId="77777777" w:rsidR="00171C5D" w:rsidRDefault="00000000">
            <w:pPr>
              <w:spacing w:before="100" w:after="0"/>
            </w:pPr>
            <w:r>
              <w:rPr>
                <w:color w:val="000000"/>
              </w:rPr>
              <w:t>Economic Development Services</w:t>
            </w:r>
          </w:p>
        </w:tc>
      </w:tr>
      <w:tr w:rsidR="00171C5D" w14:paraId="1AD8A0E3" w14:textId="77777777">
        <w:trPr>
          <w:cantSplit/>
        </w:trPr>
        <w:tc>
          <w:tcPr>
            <w:tcW w:w="0" w:type="auto"/>
            <w:vMerge/>
          </w:tcPr>
          <w:p w14:paraId="681E5268" w14:textId="77777777" w:rsidR="00171C5D" w:rsidRDefault="00171C5D"/>
        </w:tc>
        <w:tc>
          <w:tcPr>
            <w:tcW w:w="0" w:type="auto"/>
          </w:tcPr>
          <w:p w14:paraId="6E4C59C3" w14:textId="77777777" w:rsidR="00171C5D" w:rsidRDefault="00000000">
            <w:pPr>
              <w:keepNext/>
              <w:spacing w:before="100" w:after="0"/>
              <w:rPr>
                <w:b/>
              </w:rPr>
            </w:pPr>
            <w:r>
              <w:rPr>
                <w:b/>
              </w:rPr>
              <w:t>Target Area</w:t>
            </w:r>
          </w:p>
        </w:tc>
        <w:tc>
          <w:tcPr>
            <w:tcW w:w="0" w:type="auto"/>
          </w:tcPr>
          <w:p w14:paraId="021C82F5" w14:textId="77777777" w:rsidR="00171C5D" w:rsidRDefault="00000000">
            <w:pPr>
              <w:spacing w:before="100" w:after="0"/>
            </w:pPr>
            <w:r>
              <w:rPr>
                <w:color w:val="000000"/>
              </w:rPr>
              <w:t>City Wide</w:t>
            </w:r>
            <w:r>
              <w:rPr>
                <w:color w:val="000000"/>
              </w:rPr>
              <w:br/>
              <w:t xml:space="preserve">Low </w:t>
            </w:r>
            <w:proofErr w:type="gramStart"/>
            <w:r>
              <w:rPr>
                <w:color w:val="000000"/>
              </w:rPr>
              <w:t>Moderate Income</w:t>
            </w:r>
            <w:proofErr w:type="gramEnd"/>
            <w:r>
              <w:rPr>
                <w:color w:val="000000"/>
              </w:rPr>
              <w:t xml:space="preserve"> Areas</w:t>
            </w:r>
          </w:p>
        </w:tc>
      </w:tr>
      <w:tr w:rsidR="00171C5D" w14:paraId="0A88AED7" w14:textId="77777777">
        <w:trPr>
          <w:cantSplit/>
        </w:trPr>
        <w:tc>
          <w:tcPr>
            <w:tcW w:w="0" w:type="auto"/>
            <w:vMerge/>
          </w:tcPr>
          <w:p w14:paraId="03A0DA92" w14:textId="77777777" w:rsidR="00171C5D" w:rsidRDefault="00171C5D"/>
        </w:tc>
        <w:tc>
          <w:tcPr>
            <w:tcW w:w="0" w:type="auto"/>
          </w:tcPr>
          <w:p w14:paraId="4CEDBCB3" w14:textId="77777777" w:rsidR="00171C5D" w:rsidRDefault="00000000">
            <w:pPr>
              <w:keepNext/>
              <w:spacing w:before="100" w:after="0"/>
              <w:rPr>
                <w:b/>
              </w:rPr>
            </w:pPr>
            <w:r>
              <w:rPr>
                <w:b/>
              </w:rPr>
              <w:t>Goals Supported</w:t>
            </w:r>
          </w:p>
        </w:tc>
        <w:tc>
          <w:tcPr>
            <w:tcW w:w="0" w:type="auto"/>
          </w:tcPr>
          <w:p w14:paraId="576CF891" w14:textId="77777777" w:rsidR="00171C5D" w:rsidRDefault="00000000">
            <w:pPr>
              <w:spacing w:before="100" w:after="0"/>
            </w:pPr>
            <w:r>
              <w:rPr>
                <w:color w:val="000000"/>
              </w:rPr>
              <w:t>Economic Development</w:t>
            </w:r>
          </w:p>
        </w:tc>
      </w:tr>
      <w:tr w:rsidR="00171C5D" w14:paraId="374C56E7" w14:textId="77777777">
        <w:trPr>
          <w:cantSplit/>
        </w:trPr>
        <w:tc>
          <w:tcPr>
            <w:tcW w:w="0" w:type="auto"/>
            <w:vMerge/>
          </w:tcPr>
          <w:p w14:paraId="38A8319E" w14:textId="77777777" w:rsidR="00171C5D" w:rsidRDefault="00171C5D"/>
        </w:tc>
        <w:tc>
          <w:tcPr>
            <w:tcW w:w="0" w:type="auto"/>
          </w:tcPr>
          <w:p w14:paraId="27844720" w14:textId="77777777" w:rsidR="00171C5D" w:rsidRDefault="00000000">
            <w:pPr>
              <w:keepNext/>
              <w:spacing w:before="100" w:after="0"/>
              <w:rPr>
                <w:b/>
              </w:rPr>
            </w:pPr>
            <w:r>
              <w:rPr>
                <w:b/>
              </w:rPr>
              <w:t>Needs Addressed</w:t>
            </w:r>
          </w:p>
        </w:tc>
        <w:tc>
          <w:tcPr>
            <w:tcW w:w="0" w:type="auto"/>
          </w:tcPr>
          <w:p w14:paraId="18A97077" w14:textId="77777777" w:rsidR="00171C5D" w:rsidRDefault="00000000">
            <w:pPr>
              <w:spacing w:before="100" w:after="0"/>
            </w:pPr>
            <w:r>
              <w:rPr>
                <w:color w:val="000000"/>
              </w:rPr>
              <w:t>Vital Social, Econ. &amp; Comm. Development Services</w:t>
            </w:r>
          </w:p>
        </w:tc>
      </w:tr>
      <w:tr w:rsidR="00171C5D" w14:paraId="48B2773F" w14:textId="77777777">
        <w:trPr>
          <w:cantSplit/>
        </w:trPr>
        <w:tc>
          <w:tcPr>
            <w:tcW w:w="0" w:type="auto"/>
            <w:vMerge/>
          </w:tcPr>
          <w:p w14:paraId="06AEB550" w14:textId="77777777" w:rsidR="00171C5D" w:rsidRDefault="00171C5D"/>
        </w:tc>
        <w:tc>
          <w:tcPr>
            <w:tcW w:w="0" w:type="auto"/>
          </w:tcPr>
          <w:p w14:paraId="776E65EC" w14:textId="77777777" w:rsidR="00171C5D" w:rsidRDefault="00000000">
            <w:pPr>
              <w:keepNext/>
              <w:spacing w:before="100" w:after="0"/>
              <w:rPr>
                <w:b/>
              </w:rPr>
            </w:pPr>
            <w:r>
              <w:rPr>
                <w:b/>
              </w:rPr>
              <w:t>Funding</w:t>
            </w:r>
          </w:p>
        </w:tc>
        <w:tc>
          <w:tcPr>
            <w:tcW w:w="0" w:type="auto"/>
          </w:tcPr>
          <w:p w14:paraId="614900D9" w14:textId="77777777" w:rsidR="00171C5D" w:rsidRDefault="00000000">
            <w:pPr>
              <w:spacing w:before="100" w:after="0"/>
            </w:pPr>
            <w:r>
              <w:rPr>
                <w:color w:val="000000"/>
              </w:rPr>
              <w:t>CDBG: $1,684,149.00</w:t>
            </w:r>
            <w:r>
              <w:rPr>
                <w:color w:val="000000"/>
              </w:rPr>
              <w:br/>
              <w:t>Local funds: $221,365.00</w:t>
            </w:r>
            <w:r>
              <w:rPr>
                <w:color w:val="000000"/>
              </w:rPr>
              <w:br/>
              <w:t>Other Federal Funds: $800,000.00</w:t>
            </w:r>
            <w:r>
              <w:rPr>
                <w:color w:val="000000"/>
              </w:rPr>
              <w:br/>
              <w:t>Private funds: $804,247.00</w:t>
            </w:r>
            <w:r>
              <w:rPr>
                <w:color w:val="000000"/>
              </w:rPr>
              <w:br/>
              <w:t>State funds: $1,986,516.00</w:t>
            </w:r>
          </w:p>
        </w:tc>
      </w:tr>
      <w:tr w:rsidR="00171C5D" w14:paraId="079EC99E" w14:textId="77777777">
        <w:trPr>
          <w:cantSplit/>
        </w:trPr>
        <w:tc>
          <w:tcPr>
            <w:tcW w:w="0" w:type="auto"/>
            <w:vMerge/>
          </w:tcPr>
          <w:p w14:paraId="019593BE" w14:textId="77777777" w:rsidR="00171C5D" w:rsidRDefault="00171C5D"/>
        </w:tc>
        <w:tc>
          <w:tcPr>
            <w:tcW w:w="0" w:type="auto"/>
          </w:tcPr>
          <w:p w14:paraId="62518A0E" w14:textId="77777777" w:rsidR="00171C5D" w:rsidRDefault="00000000">
            <w:pPr>
              <w:keepNext/>
              <w:spacing w:before="100" w:after="0"/>
              <w:rPr>
                <w:b/>
              </w:rPr>
            </w:pPr>
            <w:r>
              <w:rPr>
                <w:b/>
              </w:rPr>
              <w:t>Description</w:t>
            </w:r>
          </w:p>
        </w:tc>
        <w:tc>
          <w:tcPr>
            <w:tcW w:w="0" w:type="auto"/>
          </w:tcPr>
          <w:p w14:paraId="6D2A3777" w14:textId="77777777" w:rsidR="00171C5D" w:rsidRDefault="00000000">
            <w:pPr>
              <w:spacing w:before="100" w:after="0"/>
            </w:pPr>
            <w:r>
              <w:rPr>
                <w:color w:val="000000"/>
              </w:rPr>
              <w:t>Activities included in this project category include employment training and workforce development, technical assistance and direct assistance to small businesses, and support for Main Street and neighborhood business districts.  Matrix Codes 19C, 05H, 18A-C, 16B</w:t>
            </w:r>
          </w:p>
        </w:tc>
      </w:tr>
      <w:tr w:rsidR="00171C5D" w14:paraId="1112537C" w14:textId="77777777">
        <w:trPr>
          <w:cantSplit/>
        </w:trPr>
        <w:tc>
          <w:tcPr>
            <w:tcW w:w="0" w:type="auto"/>
            <w:vMerge/>
          </w:tcPr>
          <w:p w14:paraId="71A96FC3" w14:textId="77777777" w:rsidR="00171C5D" w:rsidRDefault="00171C5D"/>
        </w:tc>
        <w:tc>
          <w:tcPr>
            <w:tcW w:w="0" w:type="auto"/>
          </w:tcPr>
          <w:p w14:paraId="0C3182FB" w14:textId="77777777" w:rsidR="00171C5D" w:rsidRDefault="00000000">
            <w:pPr>
              <w:keepNext/>
              <w:spacing w:before="100" w:after="0"/>
              <w:rPr>
                <w:b/>
              </w:rPr>
            </w:pPr>
            <w:r>
              <w:rPr>
                <w:b/>
              </w:rPr>
              <w:t>Target Date</w:t>
            </w:r>
          </w:p>
        </w:tc>
        <w:tc>
          <w:tcPr>
            <w:tcW w:w="0" w:type="auto"/>
          </w:tcPr>
          <w:p w14:paraId="627A8377" w14:textId="77777777" w:rsidR="00171C5D" w:rsidRDefault="00000000">
            <w:pPr>
              <w:spacing w:before="100" w:after="0"/>
            </w:pPr>
            <w:r>
              <w:rPr>
                <w:color w:val="000000"/>
              </w:rPr>
              <w:t>6/30/2026</w:t>
            </w:r>
          </w:p>
        </w:tc>
      </w:tr>
      <w:tr w:rsidR="00171C5D" w14:paraId="08275886" w14:textId="77777777">
        <w:trPr>
          <w:cantSplit/>
        </w:trPr>
        <w:tc>
          <w:tcPr>
            <w:tcW w:w="0" w:type="auto"/>
            <w:vMerge/>
          </w:tcPr>
          <w:p w14:paraId="07197B11" w14:textId="77777777" w:rsidR="00171C5D" w:rsidRDefault="00171C5D"/>
        </w:tc>
        <w:tc>
          <w:tcPr>
            <w:tcW w:w="0" w:type="auto"/>
          </w:tcPr>
          <w:p w14:paraId="7792E56F" w14:textId="77777777" w:rsidR="00171C5D"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978BE3F" w14:textId="77777777" w:rsidR="00171C5D" w:rsidRDefault="00000000">
            <w:pPr>
              <w:spacing w:before="100" w:after="0"/>
            </w:pPr>
            <w:r>
              <w:rPr>
                <w:color w:val="000000"/>
              </w:rPr>
              <w:t xml:space="preserve"> </w:t>
            </w:r>
          </w:p>
        </w:tc>
      </w:tr>
      <w:tr w:rsidR="00171C5D" w14:paraId="2F7F8AED" w14:textId="77777777">
        <w:trPr>
          <w:cantSplit/>
        </w:trPr>
        <w:tc>
          <w:tcPr>
            <w:tcW w:w="0" w:type="auto"/>
            <w:vMerge/>
          </w:tcPr>
          <w:p w14:paraId="687BB3CA" w14:textId="77777777" w:rsidR="00171C5D" w:rsidRDefault="00171C5D"/>
        </w:tc>
        <w:tc>
          <w:tcPr>
            <w:tcW w:w="0" w:type="auto"/>
          </w:tcPr>
          <w:p w14:paraId="6CAD458A" w14:textId="77777777" w:rsidR="00171C5D"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E51B452" w14:textId="77777777" w:rsidR="00171C5D" w:rsidRDefault="00000000">
            <w:pPr>
              <w:spacing w:before="100" w:after="0"/>
            </w:pPr>
            <w:r>
              <w:rPr>
                <w:color w:val="000000"/>
              </w:rPr>
              <w:t xml:space="preserve">These services are offered to </w:t>
            </w:r>
            <w:proofErr w:type="spellStart"/>
            <w:r>
              <w:rPr>
                <w:color w:val="000000"/>
              </w:rPr>
              <w:t>businessess</w:t>
            </w:r>
            <w:proofErr w:type="spellEnd"/>
            <w:r>
              <w:rPr>
                <w:color w:val="000000"/>
              </w:rPr>
              <w:t xml:space="preserve"> that are within the Low-moderate income areas, are being developed by low-moderate small business creators, or to workforce learners in various areas in the city.</w:t>
            </w:r>
          </w:p>
        </w:tc>
      </w:tr>
      <w:tr w:rsidR="00171C5D" w14:paraId="3748D460" w14:textId="77777777">
        <w:trPr>
          <w:cantSplit/>
        </w:trPr>
        <w:tc>
          <w:tcPr>
            <w:tcW w:w="0" w:type="auto"/>
            <w:vMerge/>
          </w:tcPr>
          <w:p w14:paraId="4B017778" w14:textId="77777777" w:rsidR="00171C5D" w:rsidRDefault="00171C5D"/>
        </w:tc>
        <w:tc>
          <w:tcPr>
            <w:tcW w:w="0" w:type="auto"/>
          </w:tcPr>
          <w:p w14:paraId="12511A7A" w14:textId="77777777" w:rsidR="00171C5D"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4C7172AA" w14:textId="77777777" w:rsidR="00171C5D" w:rsidRDefault="00000000">
            <w:pPr>
              <w:spacing w:before="100" w:after="0"/>
            </w:pPr>
            <w:r>
              <w:rPr>
                <w:color w:val="000000"/>
              </w:rPr>
              <w:t>Activities included in this project category include employment training and workforce development, technical assistance and direct assistance to small businesses, and support for Main Street and neighborhood business districts.</w:t>
            </w:r>
          </w:p>
        </w:tc>
      </w:tr>
      <w:tr w:rsidR="00171C5D" w14:paraId="3D9F756C" w14:textId="77777777">
        <w:trPr>
          <w:cantSplit/>
        </w:trPr>
        <w:tc>
          <w:tcPr>
            <w:tcW w:w="0" w:type="auto"/>
            <w:vMerge w:val="restart"/>
          </w:tcPr>
          <w:p w14:paraId="000840F1" w14:textId="77777777" w:rsidR="00171C5D" w:rsidRDefault="00000000">
            <w:r>
              <w:rPr>
                <w:b/>
              </w:rPr>
              <w:t>5</w:t>
            </w:r>
          </w:p>
        </w:tc>
        <w:tc>
          <w:tcPr>
            <w:tcW w:w="0" w:type="auto"/>
          </w:tcPr>
          <w:p w14:paraId="57B01DC3" w14:textId="77777777" w:rsidR="00171C5D" w:rsidRDefault="00000000">
            <w:pPr>
              <w:keepNext/>
              <w:spacing w:before="100" w:after="0"/>
              <w:rPr>
                <w:b/>
              </w:rPr>
            </w:pPr>
            <w:r>
              <w:rPr>
                <w:b/>
              </w:rPr>
              <w:t>Project Name</w:t>
            </w:r>
          </w:p>
        </w:tc>
        <w:tc>
          <w:tcPr>
            <w:tcW w:w="0" w:type="auto"/>
          </w:tcPr>
          <w:p w14:paraId="1A72B53C" w14:textId="77777777" w:rsidR="00171C5D" w:rsidRDefault="00000000">
            <w:pPr>
              <w:spacing w:before="100" w:after="0"/>
            </w:pPr>
            <w:r>
              <w:rPr>
                <w:color w:val="000000"/>
              </w:rPr>
              <w:t>Strategic Property Change</w:t>
            </w:r>
          </w:p>
        </w:tc>
      </w:tr>
      <w:tr w:rsidR="00171C5D" w14:paraId="289E1959" w14:textId="77777777">
        <w:trPr>
          <w:cantSplit/>
        </w:trPr>
        <w:tc>
          <w:tcPr>
            <w:tcW w:w="0" w:type="auto"/>
            <w:vMerge/>
          </w:tcPr>
          <w:p w14:paraId="296873AC" w14:textId="77777777" w:rsidR="00171C5D" w:rsidRDefault="00171C5D"/>
        </w:tc>
        <w:tc>
          <w:tcPr>
            <w:tcW w:w="0" w:type="auto"/>
          </w:tcPr>
          <w:p w14:paraId="272A533F" w14:textId="77777777" w:rsidR="00171C5D" w:rsidRDefault="00000000">
            <w:pPr>
              <w:keepNext/>
              <w:spacing w:before="100" w:after="0"/>
              <w:rPr>
                <w:b/>
              </w:rPr>
            </w:pPr>
            <w:r>
              <w:rPr>
                <w:b/>
              </w:rPr>
              <w:t>Target Area</w:t>
            </w:r>
          </w:p>
        </w:tc>
        <w:tc>
          <w:tcPr>
            <w:tcW w:w="0" w:type="auto"/>
          </w:tcPr>
          <w:p w14:paraId="1DC84F7C" w14:textId="77777777" w:rsidR="00171C5D" w:rsidRDefault="00000000">
            <w:pPr>
              <w:spacing w:before="100" w:after="0"/>
            </w:pPr>
            <w:r>
              <w:rPr>
                <w:color w:val="000000"/>
              </w:rPr>
              <w:t xml:space="preserve">Low </w:t>
            </w:r>
            <w:proofErr w:type="gramStart"/>
            <w:r>
              <w:rPr>
                <w:color w:val="000000"/>
              </w:rPr>
              <w:t>Moderate Income</w:t>
            </w:r>
            <w:proofErr w:type="gramEnd"/>
            <w:r>
              <w:rPr>
                <w:color w:val="000000"/>
              </w:rPr>
              <w:t xml:space="preserve"> Areas</w:t>
            </w:r>
            <w:r>
              <w:rPr>
                <w:color w:val="000000"/>
              </w:rPr>
              <w:br/>
              <w:t>Special Code Enforcement Areas</w:t>
            </w:r>
            <w:r>
              <w:rPr>
                <w:color w:val="000000"/>
              </w:rPr>
              <w:br/>
              <w:t>Strategic Demolition Areas</w:t>
            </w:r>
            <w:r>
              <w:rPr>
                <w:color w:val="000000"/>
              </w:rPr>
              <w:br/>
              <w:t>Vacancy Reduction Priority Geographies</w:t>
            </w:r>
          </w:p>
        </w:tc>
      </w:tr>
      <w:tr w:rsidR="00171C5D" w14:paraId="6B5065F4" w14:textId="77777777">
        <w:trPr>
          <w:cantSplit/>
        </w:trPr>
        <w:tc>
          <w:tcPr>
            <w:tcW w:w="0" w:type="auto"/>
            <w:vMerge/>
          </w:tcPr>
          <w:p w14:paraId="543F21E1" w14:textId="77777777" w:rsidR="00171C5D" w:rsidRDefault="00171C5D"/>
        </w:tc>
        <w:tc>
          <w:tcPr>
            <w:tcW w:w="0" w:type="auto"/>
          </w:tcPr>
          <w:p w14:paraId="15039792" w14:textId="77777777" w:rsidR="00171C5D" w:rsidRDefault="00000000">
            <w:pPr>
              <w:keepNext/>
              <w:spacing w:before="100" w:after="0"/>
              <w:rPr>
                <w:b/>
              </w:rPr>
            </w:pPr>
            <w:r>
              <w:rPr>
                <w:b/>
              </w:rPr>
              <w:t>Goals Supported</w:t>
            </w:r>
          </w:p>
        </w:tc>
        <w:tc>
          <w:tcPr>
            <w:tcW w:w="0" w:type="auto"/>
          </w:tcPr>
          <w:p w14:paraId="45DA85EB" w14:textId="77777777" w:rsidR="00171C5D" w:rsidRDefault="00000000">
            <w:pPr>
              <w:spacing w:before="100" w:after="0"/>
            </w:pPr>
            <w:r>
              <w:rPr>
                <w:color w:val="000000"/>
              </w:rPr>
              <w:t>Property Improvement and Redevelopment</w:t>
            </w:r>
          </w:p>
        </w:tc>
      </w:tr>
      <w:tr w:rsidR="00171C5D" w14:paraId="51A2473C" w14:textId="77777777">
        <w:trPr>
          <w:cantSplit/>
        </w:trPr>
        <w:tc>
          <w:tcPr>
            <w:tcW w:w="0" w:type="auto"/>
            <w:vMerge/>
          </w:tcPr>
          <w:p w14:paraId="06643CD4" w14:textId="77777777" w:rsidR="00171C5D" w:rsidRDefault="00171C5D"/>
        </w:tc>
        <w:tc>
          <w:tcPr>
            <w:tcW w:w="0" w:type="auto"/>
          </w:tcPr>
          <w:p w14:paraId="4E7E35CE" w14:textId="77777777" w:rsidR="00171C5D" w:rsidRDefault="00000000">
            <w:pPr>
              <w:keepNext/>
              <w:spacing w:before="100" w:after="0"/>
              <w:rPr>
                <w:b/>
              </w:rPr>
            </w:pPr>
            <w:r>
              <w:rPr>
                <w:b/>
              </w:rPr>
              <w:t>Needs Addressed</w:t>
            </w:r>
          </w:p>
        </w:tc>
        <w:tc>
          <w:tcPr>
            <w:tcW w:w="0" w:type="auto"/>
          </w:tcPr>
          <w:p w14:paraId="5AE300CB" w14:textId="77777777" w:rsidR="00171C5D" w:rsidRDefault="00000000">
            <w:pPr>
              <w:spacing w:before="100" w:after="0"/>
            </w:pPr>
            <w:r>
              <w:rPr>
                <w:color w:val="000000"/>
              </w:rPr>
              <w:t>Strategic Property Change</w:t>
            </w:r>
          </w:p>
        </w:tc>
      </w:tr>
      <w:tr w:rsidR="00171C5D" w14:paraId="2F60FA47" w14:textId="77777777">
        <w:trPr>
          <w:cantSplit/>
        </w:trPr>
        <w:tc>
          <w:tcPr>
            <w:tcW w:w="0" w:type="auto"/>
            <w:vMerge/>
          </w:tcPr>
          <w:p w14:paraId="59939A51" w14:textId="77777777" w:rsidR="00171C5D" w:rsidRDefault="00171C5D"/>
        </w:tc>
        <w:tc>
          <w:tcPr>
            <w:tcW w:w="0" w:type="auto"/>
          </w:tcPr>
          <w:p w14:paraId="0E94073F" w14:textId="77777777" w:rsidR="00171C5D" w:rsidRDefault="00000000">
            <w:pPr>
              <w:keepNext/>
              <w:spacing w:before="100" w:after="0"/>
              <w:rPr>
                <w:b/>
              </w:rPr>
            </w:pPr>
            <w:r>
              <w:rPr>
                <w:b/>
              </w:rPr>
              <w:t>Funding</w:t>
            </w:r>
          </w:p>
        </w:tc>
        <w:tc>
          <w:tcPr>
            <w:tcW w:w="0" w:type="auto"/>
          </w:tcPr>
          <w:p w14:paraId="5FE6ABFD" w14:textId="77777777" w:rsidR="00171C5D" w:rsidRDefault="00000000">
            <w:pPr>
              <w:spacing w:before="100" w:after="0"/>
            </w:pPr>
            <w:r>
              <w:rPr>
                <w:color w:val="000000"/>
              </w:rPr>
              <w:t>CDBG: $4,514,010.00</w:t>
            </w:r>
            <w:r>
              <w:rPr>
                <w:color w:val="000000"/>
              </w:rPr>
              <w:br/>
              <w:t>Local funds: $377,044.00</w:t>
            </w:r>
            <w:r>
              <w:rPr>
                <w:color w:val="000000"/>
              </w:rPr>
              <w:br/>
              <w:t>Private funds: $75,000.00</w:t>
            </w:r>
            <w:r>
              <w:rPr>
                <w:color w:val="000000"/>
              </w:rPr>
              <w:br/>
              <w:t>State funds: $300,250,976.00</w:t>
            </w:r>
          </w:p>
        </w:tc>
      </w:tr>
      <w:tr w:rsidR="00171C5D" w14:paraId="22F0D751" w14:textId="77777777">
        <w:trPr>
          <w:cantSplit/>
        </w:trPr>
        <w:tc>
          <w:tcPr>
            <w:tcW w:w="0" w:type="auto"/>
            <w:vMerge/>
          </w:tcPr>
          <w:p w14:paraId="366E48D0" w14:textId="77777777" w:rsidR="00171C5D" w:rsidRDefault="00171C5D"/>
        </w:tc>
        <w:tc>
          <w:tcPr>
            <w:tcW w:w="0" w:type="auto"/>
          </w:tcPr>
          <w:p w14:paraId="3FEC374B" w14:textId="77777777" w:rsidR="00171C5D" w:rsidRDefault="00000000">
            <w:pPr>
              <w:keepNext/>
              <w:spacing w:before="100" w:after="0"/>
              <w:rPr>
                <w:b/>
              </w:rPr>
            </w:pPr>
            <w:r>
              <w:rPr>
                <w:b/>
              </w:rPr>
              <w:t>Description</w:t>
            </w:r>
          </w:p>
        </w:tc>
        <w:tc>
          <w:tcPr>
            <w:tcW w:w="0" w:type="auto"/>
          </w:tcPr>
          <w:p w14:paraId="64120904" w14:textId="77777777" w:rsidR="00171C5D" w:rsidRDefault="00000000">
            <w:pPr>
              <w:spacing w:before="100" w:after="0"/>
            </w:pPr>
            <w:r>
              <w:rPr>
                <w:color w:val="000000"/>
              </w:rPr>
              <w:t>Activities that fall in this category include demolition of abandoned buildings and clearing of abandoned lots, stabilization of decaying structures, codes enforcement, and community efforts to clean, board, preserve, and revitalize area properties and open spaces. Matrix codes 05V, 04, 15, and various 03 codes.</w:t>
            </w:r>
          </w:p>
        </w:tc>
      </w:tr>
      <w:tr w:rsidR="00171C5D" w14:paraId="6FFD3BB1" w14:textId="77777777">
        <w:trPr>
          <w:cantSplit/>
        </w:trPr>
        <w:tc>
          <w:tcPr>
            <w:tcW w:w="0" w:type="auto"/>
            <w:vMerge/>
          </w:tcPr>
          <w:p w14:paraId="0C80F161" w14:textId="77777777" w:rsidR="00171C5D" w:rsidRDefault="00171C5D"/>
        </w:tc>
        <w:tc>
          <w:tcPr>
            <w:tcW w:w="0" w:type="auto"/>
          </w:tcPr>
          <w:p w14:paraId="49B8DD7F" w14:textId="77777777" w:rsidR="00171C5D" w:rsidRDefault="00000000">
            <w:pPr>
              <w:keepNext/>
              <w:spacing w:before="100" w:after="0"/>
              <w:rPr>
                <w:b/>
              </w:rPr>
            </w:pPr>
            <w:r>
              <w:rPr>
                <w:b/>
              </w:rPr>
              <w:t>Target Date</w:t>
            </w:r>
          </w:p>
        </w:tc>
        <w:tc>
          <w:tcPr>
            <w:tcW w:w="0" w:type="auto"/>
          </w:tcPr>
          <w:p w14:paraId="54162102" w14:textId="77777777" w:rsidR="00171C5D" w:rsidRDefault="00000000">
            <w:pPr>
              <w:spacing w:before="100" w:after="0"/>
            </w:pPr>
            <w:r>
              <w:rPr>
                <w:color w:val="000000"/>
              </w:rPr>
              <w:t>6/30/2026</w:t>
            </w:r>
          </w:p>
        </w:tc>
      </w:tr>
      <w:tr w:rsidR="00171C5D" w14:paraId="103C93E6" w14:textId="77777777">
        <w:trPr>
          <w:cantSplit/>
        </w:trPr>
        <w:tc>
          <w:tcPr>
            <w:tcW w:w="0" w:type="auto"/>
            <w:vMerge/>
          </w:tcPr>
          <w:p w14:paraId="60E7D9B4" w14:textId="77777777" w:rsidR="00171C5D" w:rsidRDefault="00171C5D"/>
        </w:tc>
        <w:tc>
          <w:tcPr>
            <w:tcW w:w="0" w:type="auto"/>
          </w:tcPr>
          <w:p w14:paraId="3997B784" w14:textId="77777777" w:rsidR="00171C5D"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0C6816BA" w14:textId="77777777" w:rsidR="00171C5D" w:rsidRDefault="00000000">
            <w:pPr>
              <w:spacing w:before="100" w:after="0"/>
            </w:pPr>
            <w:r>
              <w:rPr>
                <w:color w:val="000000"/>
              </w:rPr>
              <w:t>These strategic property changes will impact all residents of the city, but most specifically those living in the surrounding neighborhoods, which are predominantly low-moderate income residential areas. A fair estimate of the numbers impacted would be 300,000.</w:t>
            </w:r>
          </w:p>
        </w:tc>
      </w:tr>
      <w:tr w:rsidR="00171C5D" w14:paraId="03856564" w14:textId="77777777">
        <w:trPr>
          <w:cantSplit/>
        </w:trPr>
        <w:tc>
          <w:tcPr>
            <w:tcW w:w="0" w:type="auto"/>
            <w:vMerge/>
          </w:tcPr>
          <w:p w14:paraId="7F02861D" w14:textId="77777777" w:rsidR="00171C5D" w:rsidRDefault="00171C5D"/>
        </w:tc>
        <w:tc>
          <w:tcPr>
            <w:tcW w:w="0" w:type="auto"/>
          </w:tcPr>
          <w:p w14:paraId="1EE00325" w14:textId="77777777" w:rsidR="00171C5D"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2E5589E" w14:textId="77777777" w:rsidR="00171C5D" w:rsidRDefault="00000000">
            <w:pPr>
              <w:spacing w:before="100" w:after="0"/>
            </w:pPr>
            <w:r>
              <w:rPr>
                <w:color w:val="000000"/>
              </w:rPr>
              <w:t>Multiple locations throughout the city with particular attention in the Vacancy Reduction Priority Geographies and the Impact Investment Areas.</w:t>
            </w:r>
          </w:p>
        </w:tc>
      </w:tr>
      <w:tr w:rsidR="00171C5D" w14:paraId="05E07C33" w14:textId="77777777">
        <w:trPr>
          <w:cantSplit/>
        </w:trPr>
        <w:tc>
          <w:tcPr>
            <w:tcW w:w="0" w:type="auto"/>
            <w:vMerge/>
          </w:tcPr>
          <w:p w14:paraId="2F8F6573" w14:textId="77777777" w:rsidR="00171C5D" w:rsidRDefault="00171C5D"/>
        </w:tc>
        <w:tc>
          <w:tcPr>
            <w:tcW w:w="0" w:type="auto"/>
          </w:tcPr>
          <w:p w14:paraId="2B33C87E" w14:textId="77777777" w:rsidR="00171C5D"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7C9F49D5" w14:textId="77777777" w:rsidR="00171C5D" w:rsidRDefault="00000000">
            <w:pPr>
              <w:spacing w:before="100" w:after="0"/>
            </w:pPr>
            <w:r>
              <w:rPr>
                <w:color w:val="000000"/>
              </w:rPr>
              <w:t>Activities that fall in this category include demolition of abandoned buildings and clearing of abandoned lots, stabilization of decaying structures, codes enforcement, and community efforts to clean, board, preserve, and revitalize area properties and open spaces.</w:t>
            </w:r>
          </w:p>
        </w:tc>
      </w:tr>
      <w:tr w:rsidR="00171C5D" w14:paraId="18F731F2" w14:textId="77777777">
        <w:trPr>
          <w:cantSplit/>
        </w:trPr>
        <w:tc>
          <w:tcPr>
            <w:tcW w:w="0" w:type="auto"/>
            <w:vMerge w:val="restart"/>
          </w:tcPr>
          <w:p w14:paraId="100961E9" w14:textId="77777777" w:rsidR="00171C5D" w:rsidRDefault="00000000">
            <w:r>
              <w:rPr>
                <w:b/>
              </w:rPr>
              <w:t>6</w:t>
            </w:r>
          </w:p>
        </w:tc>
        <w:tc>
          <w:tcPr>
            <w:tcW w:w="0" w:type="auto"/>
          </w:tcPr>
          <w:p w14:paraId="52FDCFA8" w14:textId="77777777" w:rsidR="00171C5D" w:rsidRDefault="00000000">
            <w:pPr>
              <w:keepNext/>
              <w:spacing w:before="100" w:after="0"/>
              <w:rPr>
                <w:b/>
              </w:rPr>
            </w:pPr>
            <w:r>
              <w:rPr>
                <w:b/>
              </w:rPr>
              <w:t>Project Name</w:t>
            </w:r>
          </w:p>
        </w:tc>
        <w:tc>
          <w:tcPr>
            <w:tcW w:w="0" w:type="auto"/>
          </w:tcPr>
          <w:p w14:paraId="6E1439B8" w14:textId="77777777" w:rsidR="00171C5D" w:rsidRDefault="00000000">
            <w:pPr>
              <w:spacing w:before="100" w:after="0"/>
            </w:pPr>
            <w:r>
              <w:rPr>
                <w:color w:val="000000"/>
              </w:rPr>
              <w:t>Effective and Efficient Planning &amp; Administration</w:t>
            </w:r>
          </w:p>
        </w:tc>
      </w:tr>
      <w:tr w:rsidR="00171C5D" w14:paraId="045AC6A5" w14:textId="77777777">
        <w:trPr>
          <w:cantSplit/>
        </w:trPr>
        <w:tc>
          <w:tcPr>
            <w:tcW w:w="0" w:type="auto"/>
            <w:vMerge/>
          </w:tcPr>
          <w:p w14:paraId="5E43CC2E" w14:textId="77777777" w:rsidR="00171C5D" w:rsidRDefault="00171C5D"/>
        </w:tc>
        <w:tc>
          <w:tcPr>
            <w:tcW w:w="0" w:type="auto"/>
          </w:tcPr>
          <w:p w14:paraId="69FCF48C" w14:textId="77777777" w:rsidR="00171C5D" w:rsidRDefault="00000000">
            <w:pPr>
              <w:keepNext/>
              <w:spacing w:before="100" w:after="0"/>
              <w:rPr>
                <w:b/>
              </w:rPr>
            </w:pPr>
            <w:r>
              <w:rPr>
                <w:b/>
              </w:rPr>
              <w:t>Target Area</w:t>
            </w:r>
          </w:p>
        </w:tc>
        <w:tc>
          <w:tcPr>
            <w:tcW w:w="0" w:type="auto"/>
          </w:tcPr>
          <w:p w14:paraId="283E9805" w14:textId="77777777" w:rsidR="00171C5D" w:rsidRDefault="00000000">
            <w:pPr>
              <w:spacing w:before="100" w:after="0"/>
            </w:pPr>
            <w:r>
              <w:rPr>
                <w:color w:val="000000"/>
              </w:rPr>
              <w:t>City Wide</w:t>
            </w:r>
            <w:r>
              <w:rPr>
                <w:color w:val="000000"/>
              </w:rPr>
              <w:br/>
              <w:t xml:space="preserve">Low </w:t>
            </w:r>
            <w:proofErr w:type="gramStart"/>
            <w:r>
              <w:rPr>
                <w:color w:val="000000"/>
              </w:rPr>
              <w:t>Moderate Income</w:t>
            </w:r>
            <w:proofErr w:type="gramEnd"/>
            <w:r>
              <w:rPr>
                <w:color w:val="000000"/>
              </w:rPr>
              <w:t xml:space="preserve"> Areas</w:t>
            </w:r>
            <w:r>
              <w:rPr>
                <w:color w:val="000000"/>
              </w:rPr>
              <w:br/>
              <w:t>Vacancy Reduction Priority Geographies</w:t>
            </w:r>
          </w:p>
        </w:tc>
      </w:tr>
      <w:tr w:rsidR="00171C5D" w14:paraId="3378659D" w14:textId="77777777">
        <w:trPr>
          <w:cantSplit/>
        </w:trPr>
        <w:tc>
          <w:tcPr>
            <w:tcW w:w="0" w:type="auto"/>
            <w:vMerge/>
          </w:tcPr>
          <w:p w14:paraId="29835EB7" w14:textId="77777777" w:rsidR="00171C5D" w:rsidRDefault="00171C5D"/>
        </w:tc>
        <w:tc>
          <w:tcPr>
            <w:tcW w:w="0" w:type="auto"/>
          </w:tcPr>
          <w:p w14:paraId="2FD563DB" w14:textId="77777777" w:rsidR="00171C5D" w:rsidRDefault="00000000">
            <w:pPr>
              <w:keepNext/>
              <w:spacing w:before="100" w:after="0"/>
              <w:rPr>
                <w:b/>
              </w:rPr>
            </w:pPr>
            <w:r>
              <w:rPr>
                <w:b/>
              </w:rPr>
              <w:t>Goals Supported</w:t>
            </w:r>
          </w:p>
        </w:tc>
        <w:tc>
          <w:tcPr>
            <w:tcW w:w="0" w:type="auto"/>
          </w:tcPr>
          <w:p w14:paraId="28648614" w14:textId="77777777" w:rsidR="00171C5D" w:rsidRDefault="00000000">
            <w:pPr>
              <w:spacing w:before="100" w:after="0"/>
            </w:pPr>
            <w:r>
              <w:rPr>
                <w:color w:val="000000"/>
              </w:rPr>
              <w:t>Research, Planning, and Oversight of Form. Funds</w:t>
            </w:r>
          </w:p>
        </w:tc>
      </w:tr>
      <w:tr w:rsidR="00171C5D" w14:paraId="0A1E6ACE" w14:textId="77777777">
        <w:trPr>
          <w:cantSplit/>
        </w:trPr>
        <w:tc>
          <w:tcPr>
            <w:tcW w:w="0" w:type="auto"/>
            <w:vMerge/>
          </w:tcPr>
          <w:p w14:paraId="2CDF024A" w14:textId="77777777" w:rsidR="00171C5D" w:rsidRDefault="00171C5D"/>
        </w:tc>
        <w:tc>
          <w:tcPr>
            <w:tcW w:w="0" w:type="auto"/>
          </w:tcPr>
          <w:p w14:paraId="0267AAF3" w14:textId="77777777" w:rsidR="00171C5D" w:rsidRDefault="00000000">
            <w:pPr>
              <w:keepNext/>
              <w:spacing w:before="100" w:after="0"/>
              <w:rPr>
                <w:b/>
              </w:rPr>
            </w:pPr>
            <w:r>
              <w:rPr>
                <w:b/>
              </w:rPr>
              <w:t>Needs Addressed</w:t>
            </w:r>
          </w:p>
        </w:tc>
        <w:tc>
          <w:tcPr>
            <w:tcW w:w="0" w:type="auto"/>
          </w:tcPr>
          <w:p w14:paraId="5E15EC7D" w14:textId="77777777" w:rsidR="00171C5D" w:rsidRDefault="00000000">
            <w:pPr>
              <w:spacing w:before="100" w:after="0"/>
            </w:pPr>
            <w:r>
              <w:rPr>
                <w:color w:val="000000"/>
              </w:rPr>
              <w:t>Effective and Efficient Planning &amp; Administration</w:t>
            </w:r>
          </w:p>
        </w:tc>
      </w:tr>
      <w:tr w:rsidR="00171C5D" w14:paraId="26887307" w14:textId="77777777">
        <w:trPr>
          <w:cantSplit/>
        </w:trPr>
        <w:tc>
          <w:tcPr>
            <w:tcW w:w="0" w:type="auto"/>
            <w:vMerge/>
          </w:tcPr>
          <w:p w14:paraId="4BF420D3" w14:textId="77777777" w:rsidR="00171C5D" w:rsidRDefault="00171C5D"/>
        </w:tc>
        <w:tc>
          <w:tcPr>
            <w:tcW w:w="0" w:type="auto"/>
          </w:tcPr>
          <w:p w14:paraId="6F9C1D22" w14:textId="77777777" w:rsidR="00171C5D" w:rsidRDefault="00000000">
            <w:pPr>
              <w:keepNext/>
              <w:spacing w:before="100" w:after="0"/>
              <w:rPr>
                <w:b/>
              </w:rPr>
            </w:pPr>
            <w:r>
              <w:rPr>
                <w:b/>
              </w:rPr>
              <w:t>Funding</w:t>
            </w:r>
          </w:p>
        </w:tc>
        <w:tc>
          <w:tcPr>
            <w:tcW w:w="0" w:type="auto"/>
          </w:tcPr>
          <w:p w14:paraId="5316A36D" w14:textId="77777777" w:rsidR="00171C5D" w:rsidRDefault="00000000">
            <w:pPr>
              <w:spacing w:before="100" w:after="0"/>
            </w:pPr>
            <w:r>
              <w:rPr>
                <w:color w:val="000000"/>
              </w:rPr>
              <w:t>CDBG: $3,465,053.00</w:t>
            </w:r>
            <w:r>
              <w:rPr>
                <w:color w:val="000000"/>
              </w:rPr>
              <w:br/>
              <w:t>HOPWA: $211,987.00</w:t>
            </w:r>
            <w:r>
              <w:rPr>
                <w:color w:val="000000"/>
              </w:rPr>
              <w:br/>
              <w:t>HOME: $966,522.00</w:t>
            </w:r>
            <w:r>
              <w:rPr>
                <w:color w:val="000000"/>
              </w:rPr>
              <w:br/>
              <w:t>Other Federal Funds: $350,000.00</w:t>
            </w:r>
            <w:r>
              <w:rPr>
                <w:color w:val="000000"/>
              </w:rPr>
              <w:br/>
              <w:t>Private funds: $100,000.00</w:t>
            </w:r>
            <w:r>
              <w:rPr>
                <w:color w:val="000000"/>
              </w:rPr>
              <w:br/>
              <w:t>State funds: $250,000.00</w:t>
            </w:r>
          </w:p>
        </w:tc>
      </w:tr>
      <w:tr w:rsidR="00171C5D" w14:paraId="56745620" w14:textId="77777777">
        <w:trPr>
          <w:cantSplit/>
        </w:trPr>
        <w:tc>
          <w:tcPr>
            <w:tcW w:w="0" w:type="auto"/>
            <w:vMerge/>
          </w:tcPr>
          <w:p w14:paraId="5BB192A2" w14:textId="77777777" w:rsidR="00171C5D" w:rsidRDefault="00171C5D"/>
        </w:tc>
        <w:tc>
          <w:tcPr>
            <w:tcW w:w="0" w:type="auto"/>
          </w:tcPr>
          <w:p w14:paraId="46532871" w14:textId="77777777" w:rsidR="00171C5D" w:rsidRDefault="00000000">
            <w:pPr>
              <w:keepNext/>
              <w:spacing w:before="100" w:after="0"/>
              <w:rPr>
                <w:b/>
              </w:rPr>
            </w:pPr>
            <w:r>
              <w:rPr>
                <w:b/>
              </w:rPr>
              <w:t>Description</w:t>
            </w:r>
          </w:p>
        </w:tc>
        <w:tc>
          <w:tcPr>
            <w:tcW w:w="0" w:type="auto"/>
          </w:tcPr>
          <w:p w14:paraId="7F435DD9" w14:textId="77777777" w:rsidR="00171C5D" w:rsidRDefault="00000000">
            <w:pPr>
              <w:spacing w:before="100" w:after="0"/>
            </w:pPr>
            <w:r>
              <w:rPr>
                <w:color w:val="000000"/>
              </w:rPr>
              <w:t>Activities in this category include general program admin, planning, fair housing planning, and indirect costs. Matrix codes 20, 21A-D, and 19 and 24</w:t>
            </w:r>
          </w:p>
        </w:tc>
      </w:tr>
      <w:tr w:rsidR="00171C5D" w14:paraId="6D74CF19" w14:textId="77777777">
        <w:trPr>
          <w:cantSplit/>
        </w:trPr>
        <w:tc>
          <w:tcPr>
            <w:tcW w:w="0" w:type="auto"/>
            <w:vMerge/>
          </w:tcPr>
          <w:p w14:paraId="4818F30D" w14:textId="77777777" w:rsidR="00171C5D" w:rsidRDefault="00171C5D"/>
        </w:tc>
        <w:tc>
          <w:tcPr>
            <w:tcW w:w="0" w:type="auto"/>
          </w:tcPr>
          <w:p w14:paraId="00310302" w14:textId="77777777" w:rsidR="00171C5D" w:rsidRDefault="00000000">
            <w:pPr>
              <w:keepNext/>
              <w:spacing w:before="100" w:after="0"/>
              <w:rPr>
                <w:b/>
              </w:rPr>
            </w:pPr>
            <w:r>
              <w:rPr>
                <w:b/>
              </w:rPr>
              <w:t>Target Date</w:t>
            </w:r>
          </w:p>
        </w:tc>
        <w:tc>
          <w:tcPr>
            <w:tcW w:w="0" w:type="auto"/>
          </w:tcPr>
          <w:p w14:paraId="734D0990" w14:textId="77777777" w:rsidR="00171C5D" w:rsidRDefault="00000000">
            <w:pPr>
              <w:spacing w:before="100" w:after="0"/>
            </w:pPr>
            <w:r>
              <w:rPr>
                <w:color w:val="000000"/>
              </w:rPr>
              <w:t>6/30/2026</w:t>
            </w:r>
          </w:p>
        </w:tc>
      </w:tr>
      <w:tr w:rsidR="00171C5D" w14:paraId="20EB9FFF" w14:textId="77777777">
        <w:trPr>
          <w:cantSplit/>
        </w:trPr>
        <w:tc>
          <w:tcPr>
            <w:tcW w:w="0" w:type="auto"/>
            <w:vMerge/>
          </w:tcPr>
          <w:p w14:paraId="3539EEFD" w14:textId="77777777" w:rsidR="00171C5D" w:rsidRDefault="00171C5D"/>
        </w:tc>
        <w:tc>
          <w:tcPr>
            <w:tcW w:w="0" w:type="auto"/>
          </w:tcPr>
          <w:p w14:paraId="0A9231F6" w14:textId="77777777" w:rsidR="00171C5D"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259359E0" w14:textId="77777777" w:rsidR="00171C5D" w:rsidRDefault="00000000">
            <w:pPr>
              <w:spacing w:before="100" w:after="0"/>
            </w:pPr>
            <w:r>
              <w:rPr>
                <w:color w:val="000000"/>
              </w:rPr>
              <w:t>Generally, these activities serve the entire city population.</w:t>
            </w:r>
          </w:p>
        </w:tc>
      </w:tr>
      <w:tr w:rsidR="00171C5D" w14:paraId="03589C16" w14:textId="77777777">
        <w:trPr>
          <w:cantSplit/>
        </w:trPr>
        <w:tc>
          <w:tcPr>
            <w:tcW w:w="0" w:type="auto"/>
            <w:vMerge/>
          </w:tcPr>
          <w:p w14:paraId="0A65C744" w14:textId="77777777" w:rsidR="00171C5D" w:rsidRDefault="00171C5D"/>
        </w:tc>
        <w:tc>
          <w:tcPr>
            <w:tcW w:w="0" w:type="auto"/>
          </w:tcPr>
          <w:p w14:paraId="7D9A3612" w14:textId="77777777" w:rsidR="00171C5D"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20193D7D" w14:textId="77777777" w:rsidR="00171C5D" w:rsidRDefault="00000000">
            <w:pPr>
              <w:spacing w:before="100" w:after="0"/>
            </w:pPr>
            <w:r>
              <w:rPr>
                <w:color w:val="000000"/>
              </w:rPr>
              <w:t xml:space="preserve">Generally, these activities serve the entire </w:t>
            </w:r>
            <w:proofErr w:type="gramStart"/>
            <w:r>
              <w:rPr>
                <w:color w:val="000000"/>
              </w:rPr>
              <w:t>city</w:t>
            </w:r>
            <w:proofErr w:type="gramEnd"/>
            <w:r>
              <w:rPr>
                <w:color w:val="000000"/>
              </w:rPr>
              <w:t xml:space="preserve"> geography.</w:t>
            </w:r>
          </w:p>
        </w:tc>
      </w:tr>
      <w:tr w:rsidR="00171C5D" w14:paraId="29D6A08F" w14:textId="77777777">
        <w:trPr>
          <w:cantSplit/>
        </w:trPr>
        <w:tc>
          <w:tcPr>
            <w:tcW w:w="0" w:type="auto"/>
            <w:vMerge/>
          </w:tcPr>
          <w:p w14:paraId="7968A9E4" w14:textId="77777777" w:rsidR="00171C5D" w:rsidRDefault="00171C5D"/>
        </w:tc>
        <w:tc>
          <w:tcPr>
            <w:tcW w:w="0" w:type="auto"/>
          </w:tcPr>
          <w:p w14:paraId="3F4A8EFB" w14:textId="77777777" w:rsidR="00171C5D"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2A5C1677" w14:textId="77777777" w:rsidR="00171C5D" w:rsidRDefault="00000000">
            <w:pPr>
              <w:spacing w:before="100" w:after="0"/>
            </w:pPr>
            <w:r>
              <w:rPr>
                <w:color w:val="000000"/>
              </w:rPr>
              <w:t>Activities in this category include general program admin, planning, fair housing planning, and indirect costs</w:t>
            </w:r>
          </w:p>
        </w:tc>
      </w:tr>
    </w:tbl>
    <w:p w14:paraId="29DA52CF" w14:textId="77777777" w:rsidR="00171C5D" w:rsidRDefault="00000000">
      <w:pPr>
        <w:pStyle w:val="Heading2"/>
        <w:pageBreakBefore/>
        <w:widowControl w:val="0"/>
        <w:rPr>
          <w:rFonts w:ascii="Calibri" w:hAnsi="Calibri"/>
          <w:i w:val="0"/>
        </w:rPr>
      </w:pPr>
      <w:bookmarkStart w:id="1" w:name="_Toc309810477"/>
      <w:bookmarkEnd w:id="0"/>
      <w:r>
        <w:rPr>
          <w:rFonts w:ascii="Calibri" w:hAnsi="Calibri"/>
          <w:i w:val="0"/>
        </w:rPr>
        <w:lastRenderedPageBreak/>
        <w:t xml:space="preserve">AP-50 Geographic Distribution – 91.220(f) </w:t>
      </w:r>
      <w:bookmarkEnd w:id="1"/>
    </w:p>
    <w:p w14:paraId="37A7A644" w14:textId="77777777" w:rsidR="00171C5D" w:rsidRDefault="00000000">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35A25B17" w14:textId="77777777" w:rsidR="00171C5D" w:rsidRDefault="00000000">
      <w:pPr>
        <w:keepNext/>
        <w:widowControl w:val="0"/>
        <w:spacing w:beforeAutospacing="1" w:afterAutospacing="1"/>
        <w:rPr>
          <w:rFonts w:cs="Arial"/>
          <w:szCs w:val="26"/>
        </w:rPr>
      </w:pPr>
      <w:r>
        <w:rPr>
          <w:rFonts w:cs="Arial"/>
        </w:rPr>
        <w:t xml:space="preserve">To implement the strategies and goals identified in the Framework for Community Development, four Impact Investment Areas are identified for transformational investments that will capitalize ongoing revitalization activities. These Impact Investment Areas (IIAs) are: </w:t>
      </w:r>
      <w:r>
        <w:rPr>
          <w:rFonts w:cs="Arial"/>
        </w:rPr>
        <w:br/>
        <w:t>Broadway East, Coldstream Homestead Montebello, East Baltimore Midway, Johnston Square, Park Heights, Southwest Partnership, and West.</w:t>
      </w:r>
    </w:p>
    <w:p w14:paraId="308D59C6" w14:textId="77777777" w:rsidR="00171C5D" w:rsidRDefault="00000000">
      <w:pPr>
        <w:keepNext/>
        <w:widowControl w:val="0"/>
        <w:spacing w:beforeAutospacing="1" w:afterAutospacing="1"/>
        <w:rPr>
          <w:rFonts w:cs="Arial"/>
          <w:szCs w:val="26"/>
        </w:rPr>
      </w:pPr>
      <w:r>
        <w:rPr>
          <w:rFonts w:cs="Arial"/>
        </w:rPr>
        <w:t>IIAs are neighborhoods that offer near-term opportunities to achieve inclusive, economically sustainable growth supported by a comprehensive multi-agency City strategy and major public investments. As these areas stabilize and grow, they will serve as strong community assets that will help fuel subsequent transformational development in adjacent communities.</w:t>
      </w:r>
    </w:p>
    <w:p w14:paraId="39B9C14B" w14:textId="77777777" w:rsidR="00171C5D" w:rsidRDefault="00000000">
      <w:pPr>
        <w:keepNext/>
        <w:widowControl w:val="0"/>
        <w:spacing w:beforeAutospacing="1" w:afterAutospacing="1"/>
        <w:rPr>
          <w:rFonts w:cs="Arial"/>
          <w:szCs w:val="26"/>
        </w:rPr>
      </w:pPr>
      <w:r>
        <w:rPr>
          <w:rFonts w:cs="Arial"/>
        </w:rPr>
        <w:t>This plan also includes Vacancy Reduction Priority Areas, which encompass areas that the city and state have identified as having a higher-than-average number of vacant units that need to be rehabilitated to affordable housing, neighborhood commercial, or in some cases demolished. Although the Vacancy Reduction Priority Areas are all within low- moderate-income areas of Baltimore, they possess special challenges and opportunities for significant improvement.</w:t>
      </w:r>
    </w:p>
    <w:p w14:paraId="26393536" w14:textId="77777777" w:rsidR="00171C5D" w:rsidRDefault="00000000">
      <w:pPr>
        <w:keepNext/>
        <w:widowControl w:val="0"/>
        <w:spacing w:beforeAutospacing="1" w:afterAutospacing="1"/>
        <w:rPr>
          <w:rFonts w:cs="Arial"/>
          <w:szCs w:val="26"/>
        </w:rPr>
      </w:pPr>
      <w:r>
        <w:rPr>
          <w:rFonts w:cs="Arial"/>
        </w:rPr>
        <w:t>The use of ESG, HOME and CDBG funds can and will occur in all corners of the city, although most funds are spent in low- and moderate-income areas. HOPWA funds are allocated on a regional basis although most funds are spent in Baltimore city.</w:t>
      </w:r>
    </w:p>
    <w:p w14:paraId="7BBB1FB9" w14:textId="77777777" w:rsidR="00171C5D" w:rsidRDefault="00000000">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2074"/>
      </w:tblGrid>
      <w:tr w:rsidR="00171C5D" w14:paraId="5A294D31" w14:textId="77777777">
        <w:trPr>
          <w:cantSplit/>
          <w:tblHeader/>
        </w:trPr>
        <w:tc>
          <w:tcPr>
            <w:tcW w:w="0" w:type="auto"/>
          </w:tcPr>
          <w:p w14:paraId="54BCE482" w14:textId="77777777" w:rsidR="00171C5D" w:rsidRDefault="00000000">
            <w:pPr>
              <w:keepNext/>
              <w:widowControl w:val="0"/>
              <w:spacing w:after="0" w:line="240" w:lineRule="auto"/>
              <w:jc w:val="center"/>
              <w:rPr>
                <w:b/>
                <w:szCs w:val="24"/>
              </w:rPr>
            </w:pPr>
            <w:r>
              <w:rPr>
                <w:b/>
              </w:rPr>
              <w:t>Target Area</w:t>
            </w:r>
          </w:p>
        </w:tc>
        <w:tc>
          <w:tcPr>
            <w:tcW w:w="0" w:type="auto"/>
          </w:tcPr>
          <w:p w14:paraId="6D972312" w14:textId="77777777" w:rsidR="00171C5D" w:rsidRDefault="00000000">
            <w:pPr>
              <w:keepNext/>
              <w:widowControl w:val="0"/>
              <w:spacing w:after="0" w:line="240" w:lineRule="auto"/>
              <w:jc w:val="center"/>
              <w:rPr>
                <w:b/>
                <w:szCs w:val="24"/>
              </w:rPr>
            </w:pPr>
            <w:r>
              <w:rPr>
                <w:b/>
              </w:rPr>
              <w:t>Percentage of Funds</w:t>
            </w:r>
          </w:p>
        </w:tc>
      </w:tr>
      <w:tr w:rsidR="00171C5D" w14:paraId="772C32FC" w14:textId="77777777">
        <w:trPr>
          <w:cantSplit/>
        </w:trPr>
        <w:tc>
          <w:tcPr>
            <w:tcW w:w="0" w:type="auto"/>
          </w:tcPr>
          <w:p w14:paraId="7D83411D" w14:textId="77777777" w:rsidR="00171C5D" w:rsidRDefault="00000000">
            <w:pPr>
              <w:spacing w:beforeAutospacing="1" w:afterAutospacing="1"/>
            </w:pPr>
            <w:r>
              <w:rPr>
                <w:color w:val="000000"/>
              </w:rPr>
              <w:t>City Wide</w:t>
            </w:r>
          </w:p>
        </w:tc>
        <w:tc>
          <w:tcPr>
            <w:tcW w:w="0" w:type="auto"/>
            <w:vAlign w:val="bottom"/>
          </w:tcPr>
          <w:p w14:paraId="2F660074" w14:textId="77777777" w:rsidR="00171C5D" w:rsidRDefault="00000000">
            <w:pPr>
              <w:spacing w:beforeAutospacing="1" w:afterAutospacing="1"/>
              <w:jc w:val="right"/>
            </w:pPr>
            <w:r>
              <w:rPr>
                <w:color w:val="000000"/>
              </w:rPr>
              <w:t>65</w:t>
            </w:r>
          </w:p>
        </w:tc>
      </w:tr>
      <w:tr w:rsidR="00171C5D" w14:paraId="6107A6FC" w14:textId="77777777">
        <w:trPr>
          <w:cantSplit/>
        </w:trPr>
        <w:tc>
          <w:tcPr>
            <w:tcW w:w="0" w:type="auto"/>
          </w:tcPr>
          <w:p w14:paraId="75ACED5F" w14:textId="77777777" w:rsidR="00171C5D" w:rsidRDefault="00000000">
            <w:pPr>
              <w:spacing w:beforeAutospacing="1" w:afterAutospacing="1"/>
            </w:pPr>
            <w:r>
              <w:rPr>
                <w:color w:val="000000"/>
              </w:rPr>
              <w:t xml:space="preserve">Low </w:t>
            </w:r>
            <w:proofErr w:type="gramStart"/>
            <w:r>
              <w:rPr>
                <w:color w:val="000000"/>
              </w:rPr>
              <w:t>Moderate Income</w:t>
            </w:r>
            <w:proofErr w:type="gramEnd"/>
            <w:r>
              <w:rPr>
                <w:color w:val="000000"/>
              </w:rPr>
              <w:t xml:space="preserve"> Areas</w:t>
            </w:r>
          </w:p>
        </w:tc>
        <w:tc>
          <w:tcPr>
            <w:tcW w:w="0" w:type="auto"/>
            <w:vAlign w:val="bottom"/>
          </w:tcPr>
          <w:p w14:paraId="061B5139" w14:textId="77777777" w:rsidR="00171C5D" w:rsidRDefault="00000000">
            <w:pPr>
              <w:spacing w:beforeAutospacing="1" w:afterAutospacing="1"/>
              <w:jc w:val="right"/>
            </w:pPr>
            <w:r>
              <w:rPr>
                <w:color w:val="000000"/>
              </w:rPr>
              <w:t>7</w:t>
            </w:r>
          </w:p>
        </w:tc>
      </w:tr>
      <w:tr w:rsidR="00171C5D" w14:paraId="4C1BC03D" w14:textId="77777777">
        <w:trPr>
          <w:cantSplit/>
        </w:trPr>
        <w:tc>
          <w:tcPr>
            <w:tcW w:w="0" w:type="auto"/>
          </w:tcPr>
          <w:p w14:paraId="7D9E02FC" w14:textId="77777777" w:rsidR="00171C5D" w:rsidRDefault="00000000">
            <w:pPr>
              <w:spacing w:beforeAutospacing="1" w:afterAutospacing="1"/>
            </w:pPr>
            <w:r>
              <w:rPr>
                <w:color w:val="000000"/>
              </w:rPr>
              <w:t>Special Code Enforcement Areas</w:t>
            </w:r>
          </w:p>
        </w:tc>
        <w:tc>
          <w:tcPr>
            <w:tcW w:w="0" w:type="auto"/>
            <w:vAlign w:val="bottom"/>
          </w:tcPr>
          <w:p w14:paraId="31E57DE6" w14:textId="77777777" w:rsidR="00171C5D" w:rsidRDefault="00000000">
            <w:pPr>
              <w:spacing w:beforeAutospacing="1" w:afterAutospacing="1"/>
              <w:jc w:val="right"/>
            </w:pPr>
            <w:r>
              <w:rPr>
                <w:color w:val="000000"/>
              </w:rPr>
              <w:t>10</w:t>
            </w:r>
          </w:p>
        </w:tc>
      </w:tr>
      <w:tr w:rsidR="00171C5D" w14:paraId="5AD63763" w14:textId="77777777">
        <w:trPr>
          <w:cantSplit/>
        </w:trPr>
        <w:tc>
          <w:tcPr>
            <w:tcW w:w="0" w:type="auto"/>
          </w:tcPr>
          <w:p w14:paraId="5FAABC46" w14:textId="77777777" w:rsidR="00171C5D" w:rsidRDefault="00000000">
            <w:pPr>
              <w:spacing w:beforeAutospacing="1" w:afterAutospacing="1"/>
            </w:pPr>
            <w:r>
              <w:rPr>
                <w:color w:val="000000"/>
              </w:rPr>
              <w:t>Strategic Demolition Areas</w:t>
            </w:r>
          </w:p>
        </w:tc>
        <w:tc>
          <w:tcPr>
            <w:tcW w:w="0" w:type="auto"/>
            <w:vAlign w:val="bottom"/>
          </w:tcPr>
          <w:p w14:paraId="3405BAA6" w14:textId="77777777" w:rsidR="00171C5D" w:rsidRDefault="00000000">
            <w:pPr>
              <w:spacing w:beforeAutospacing="1" w:afterAutospacing="1"/>
              <w:jc w:val="right"/>
            </w:pPr>
            <w:r>
              <w:rPr>
                <w:color w:val="000000"/>
              </w:rPr>
              <w:t>7</w:t>
            </w:r>
          </w:p>
        </w:tc>
      </w:tr>
      <w:tr w:rsidR="00171C5D" w14:paraId="74C5D827" w14:textId="77777777">
        <w:trPr>
          <w:cantSplit/>
        </w:trPr>
        <w:tc>
          <w:tcPr>
            <w:tcW w:w="0" w:type="auto"/>
          </w:tcPr>
          <w:p w14:paraId="6717BCEF" w14:textId="77777777" w:rsidR="00171C5D" w:rsidRDefault="00000000">
            <w:pPr>
              <w:spacing w:beforeAutospacing="1" w:afterAutospacing="1"/>
            </w:pPr>
            <w:r>
              <w:rPr>
                <w:color w:val="000000"/>
              </w:rPr>
              <w:t>Vacancy Reduction Priority Geographies</w:t>
            </w:r>
          </w:p>
        </w:tc>
        <w:tc>
          <w:tcPr>
            <w:tcW w:w="0" w:type="auto"/>
            <w:vAlign w:val="bottom"/>
          </w:tcPr>
          <w:p w14:paraId="14B81337" w14:textId="77777777" w:rsidR="00171C5D" w:rsidRDefault="00000000">
            <w:pPr>
              <w:spacing w:beforeAutospacing="1" w:afterAutospacing="1"/>
              <w:jc w:val="right"/>
            </w:pPr>
            <w:r>
              <w:rPr>
                <w:color w:val="000000"/>
              </w:rPr>
              <w:t>11</w:t>
            </w:r>
          </w:p>
        </w:tc>
      </w:tr>
    </w:tbl>
    <w:p w14:paraId="650252B1" w14:textId="77777777" w:rsidR="00171C5D"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252B3A54" w14:textId="77777777" w:rsidR="00171C5D" w:rsidRDefault="00171C5D">
      <w:pPr>
        <w:spacing w:after="0" w:line="240" w:lineRule="auto"/>
        <w:rPr>
          <w:b/>
          <w:sz w:val="24"/>
          <w:szCs w:val="24"/>
        </w:rPr>
      </w:pPr>
    </w:p>
    <w:p w14:paraId="06695CD2" w14:textId="77777777" w:rsidR="00171C5D" w:rsidRDefault="00000000">
      <w:pPr>
        <w:keepNext/>
        <w:widowControl w:val="0"/>
        <w:rPr>
          <w:b/>
          <w:sz w:val="24"/>
          <w:szCs w:val="24"/>
        </w:rPr>
      </w:pPr>
      <w:r>
        <w:rPr>
          <w:b/>
          <w:sz w:val="24"/>
          <w:szCs w:val="24"/>
        </w:rPr>
        <w:t xml:space="preserve">Rationale for the priorities for allocating investments geographically </w:t>
      </w:r>
    </w:p>
    <w:p w14:paraId="131A8F87" w14:textId="77777777" w:rsidR="00171C5D" w:rsidRDefault="00000000">
      <w:pPr>
        <w:keepNext/>
        <w:widowControl w:val="0"/>
        <w:spacing w:beforeAutospacing="1" w:afterAutospacing="1"/>
        <w:rPr>
          <w:rFonts w:cs="Arial"/>
          <w:szCs w:val="24"/>
        </w:rPr>
      </w:pPr>
      <w:r>
        <w:rPr>
          <w:rFonts w:cs="Arial"/>
        </w:rPr>
        <w:t xml:space="preserve">The City-Wide designation includes funds that are being used to support programs that impact or may impact any area in the city. For example, activities such as homeownership counseling, homebuyer incentives, services for homeless people, and other similar programs may be utilized by people residing anywhere in the city. Likewise, administrative activities by the Department of Housing and Community </w:t>
      </w:r>
      <w:proofErr w:type="gramStart"/>
      <w:r>
        <w:rPr>
          <w:rFonts w:cs="Arial"/>
        </w:rPr>
        <w:lastRenderedPageBreak/>
        <w:t>Development  and</w:t>
      </w:r>
      <w:proofErr w:type="gramEnd"/>
      <w:r>
        <w:rPr>
          <w:rFonts w:cs="Arial"/>
        </w:rPr>
        <w:t xml:space="preserve"> Mayor's Office of Homeless Services benefit all areas in the city and are thus classified as City-Wide.</w:t>
      </w:r>
    </w:p>
    <w:p w14:paraId="7D00DA19" w14:textId="77777777" w:rsidR="00171C5D" w:rsidRDefault="00000000">
      <w:pPr>
        <w:keepNext/>
        <w:widowControl w:val="0"/>
        <w:spacing w:beforeAutospacing="1" w:afterAutospacing="1"/>
        <w:rPr>
          <w:rFonts w:cs="Arial"/>
          <w:szCs w:val="24"/>
        </w:rPr>
      </w:pPr>
      <w:r>
        <w:rPr>
          <w:rFonts w:cs="Arial"/>
        </w:rPr>
        <w:t xml:space="preserve">In the Low- &amp; Moderate-Income areas the efforts supported by federal funds promote effective stewardship of existing community resources, and preventative measures to sustain and improve relatively stable communities. Many Low- &amp; Moderate-Income areas have </w:t>
      </w:r>
      <w:proofErr w:type="gramStart"/>
      <w:r>
        <w:rPr>
          <w:rFonts w:cs="Arial"/>
        </w:rPr>
        <w:t>benefitted</w:t>
      </w:r>
      <w:proofErr w:type="gramEnd"/>
      <w:r>
        <w:rPr>
          <w:rFonts w:cs="Arial"/>
        </w:rPr>
        <w:t xml:space="preserve"> from past CDBG investment and continue to build capacity to effect positive </w:t>
      </w:r>
      <w:proofErr w:type="gramStart"/>
      <w:r>
        <w:rPr>
          <w:rFonts w:cs="Arial"/>
        </w:rPr>
        <w:t>change</w:t>
      </w:r>
      <w:proofErr w:type="gramEnd"/>
      <w:r>
        <w:rPr>
          <w:rFonts w:cs="Arial"/>
        </w:rPr>
        <w:t>. </w:t>
      </w:r>
    </w:p>
    <w:p w14:paraId="24BBE9CB" w14:textId="77777777" w:rsidR="00171C5D" w:rsidRDefault="00000000">
      <w:pPr>
        <w:keepNext/>
        <w:widowControl w:val="0"/>
        <w:spacing w:beforeAutospacing="1" w:afterAutospacing="1"/>
        <w:rPr>
          <w:rFonts w:cs="Arial"/>
          <w:szCs w:val="24"/>
        </w:rPr>
      </w:pPr>
      <w:r>
        <w:rPr>
          <w:rFonts w:cs="Arial"/>
        </w:rPr>
        <w:t xml:space="preserve">In keeping with the 2020-2025 Consolidated Plan, DHCD continues to engage in patient investment in the seven Investment Impact Areas (IIAs). These areas have experienced considerable disinvestment and </w:t>
      </w:r>
      <w:proofErr w:type="gramStart"/>
      <w:r>
        <w:rPr>
          <w:rFonts w:cs="Arial"/>
        </w:rPr>
        <w:t>blight</w:t>
      </w:r>
      <w:proofErr w:type="gramEnd"/>
      <w:r>
        <w:rPr>
          <w:rFonts w:cs="Arial"/>
        </w:rPr>
        <w:t xml:space="preserve"> and require significant community development investments to attract market forces capable of sustaining the neighborhoods. The intent is to focus funding streams in these areas to bring them back to being safe, stable, and viable mixed-income neighborhoods. While the investment percentage of CDBG funds remains low in CFY 2026, there are other city-directed funding streams being applied to projects in these areas. There are also extra “points” in scoring of proposed projects in these areas on most of the city’s funding opportunities. The CDBG program suffers from a lack of capable non-profit applicants from these areas. This factor is also a symptom of the long-term disinvestment we are working </w:t>
      </w:r>
      <w:proofErr w:type="gramStart"/>
      <w:r>
        <w:rPr>
          <w:rFonts w:cs="Arial"/>
        </w:rPr>
        <w:t>to correct</w:t>
      </w:r>
      <w:proofErr w:type="gramEnd"/>
      <w:r>
        <w:rPr>
          <w:rFonts w:cs="Arial"/>
        </w:rPr>
        <w:t xml:space="preserve">.  In the CFY 2026 Annual Action Plan, the IIAs are included in the Vacancy Reduction Priority Geographies. These are areas with </w:t>
      </w:r>
      <w:proofErr w:type="gramStart"/>
      <w:r>
        <w:rPr>
          <w:rFonts w:cs="Arial"/>
        </w:rPr>
        <w:t>more-than-average</w:t>
      </w:r>
      <w:proofErr w:type="gramEnd"/>
      <w:r>
        <w:rPr>
          <w:rFonts w:cs="Arial"/>
        </w:rPr>
        <w:t xml:space="preserve"> numbers of vacant structures. The City and State are applying considerable funds to gain possession of these delinquent properties to allow for rehabilitation into affordable housing, neighborhood commercial, or in some cases for demolition to occur, </w:t>
      </w:r>
      <w:proofErr w:type="gramStart"/>
      <w:r>
        <w:rPr>
          <w:rFonts w:cs="Arial"/>
        </w:rPr>
        <w:t>in order to</w:t>
      </w:r>
      <w:proofErr w:type="gramEnd"/>
      <w:r>
        <w:rPr>
          <w:rFonts w:cs="Arial"/>
        </w:rPr>
        <w:t xml:space="preserve"> create open space, needed neighborhood assets such as markets or parking facilities, or sites for future development.</w:t>
      </w:r>
    </w:p>
    <w:p w14:paraId="5804DC33" w14:textId="77777777" w:rsidR="00171C5D" w:rsidRDefault="00171C5D">
      <w:pPr>
        <w:keepNext/>
        <w:widowControl w:val="0"/>
        <w:spacing w:beforeAutospacing="1" w:afterAutospacing="1"/>
        <w:rPr>
          <w:rFonts w:cs="Arial"/>
          <w:szCs w:val="24"/>
        </w:rPr>
      </w:pPr>
    </w:p>
    <w:p w14:paraId="4D8066FE" w14:textId="77777777" w:rsidR="00171C5D" w:rsidRDefault="00000000">
      <w:pPr>
        <w:keepNext/>
        <w:widowControl w:val="0"/>
        <w:spacing w:line="204" w:lineRule="auto"/>
        <w:rPr>
          <w:b/>
          <w:sz w:val="24"/>
          <w:szCs w:val="24"/>
        </w:rPr>
      </w:pPr>
      <w:r>
        <w:rPr>
          <w:b/>
          <w:sz w:val="24"/>
          <w:szCs w:val="24"/>
        </w:rPr>
        <w:t>Discussion</w:t>
      </w:r>
    </w:p>
    <w:p w14:paraId="51FC0FA4" w14:textId="77777777" w:rsidR="00171C5D" w:rsidRDefault="00171C5D">
      <w:pPr>
        <w:keepNext/>
        <w:widowControl w:val="0"/>
        <w:spacing w:line="204" w:lineRule="auto"/>
        <w:rPr>
          <w:b/>
          <w:sz w:val="24"/>
          <w:szCs w:val="24"/>
        </w:rPr>
      </w:pPr>
    </w:p>
    <w:p w14:paraId="4DF0D999" w14:textId="77777777" w:rsidR="00171C5D" w:rsidRDefault="00171C5D">
      <w:pPr>
        <w:rPr>
          <w:rFonts w:cs="Arial"/>
        </w:rPr>
      </w:pPr>
    </w:p>
    <w:p w14:paraId="2BD8A650" w14:textId="77777777" w:rsidR="00171C5D"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14:paraId="31711BD6" w14:textId="77777777" w:rsidR="00171C5D" w:rsidRDefault="00000000">
      <w:pPr>
        <w:pStyle w:val="Heading2"/>
        <w:widowControl w:val="0"/>
        <w:rPr>
          <w:rFonts w:ascii="Calibri" w:hAnsi="Calibri"/>
          <w:i w:val="0"/>
        </w:rPr>
      </w:pPr>
      <w:r>
        <w:rPr>
          <w:rFonts w:ascii="Calibri" w:hAnsi="Calibri"/>
          <w:i w:val="0"/>
        </w:rPr>
        <w:t xml:space="preserve">AP-55 Affordable Housing – 91.220(g) </w:t>
      </w:r>
    </w:p>
    <w:p w14:paraId="5B45B33D" w14:textId="77777777" w:rsidR="00171C5D" w:rsidRDefault="00000000">
      <w:pPr>
        <w:keepNext/>
        <w:widowControl w:val="0"/>
        <w:spacing w:line="204" w:lineRule="auto"/>
        <w:rPr>
          <w:b/>
          <w:sz w:val="28"/>
          <w:szCs w:val="28"/>
        </w:rPr>
      </w:pPr>
      <w:r>
        <w:rPr>
          <w:b/>
          <w:sz w:val="24"/>
          <w:szCs w:val="24"/>
        </w:rPr>
        <w:t>Introduction</w:t>
      </w:r>
    </w:p>
    <w:p w14:paraId="1BFA047A" w14:textId="77777777" w:rsidR="00171C5D" w:rsidRDefault="00171C5D">
      <w:pPr>
        <w:keepNext/>
        <w:widowControl w:val="0"/>
        <w:spacing w:line="204" w:lineRule="auto"/>
        <w:rPr>
          <w:b/>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171C5D" w14:paraId="19E694A4" w14:textId="77777777">
        <w:trPr>
          <w:cantSplit/>
          <w:tblHeader/>
        </w:trPr>
        <w:tc>
          <w:tcPr>
            <w:tcW w:w="6473" w:type="dxa"/>
            <w:gridSpan w:val="2"/>
          </w:tcPr>
          <w:p w14:paraId="618A8393" w14:textId="77777777" w:rsidR="00171C5D" w:rsidRDefault="00000000">
            <w:pPr>
              <w:keepNext/>
              <w:widowControl w:val="0"/>
              <w:spacing w:after="0" w:line="240" w:lineRule="auto"/>
              <w:jc w:val="center"/>
              <w:rPr>
                <w:b/>
                <w:szCs w:val="24"/>
              </w:rPr>
            </w:pPr>
            <w:r>
              <w:rPr>
                <w:b/>
              </w:rPr>
              <w:t>One Year Goals for the Number of Households to be Supported</w:t>
            </w:r>
          </w:p>
        </w:tc>
      </w:tr>
      <w:tr w:rsidR="00171C5D" w14:paraId="4AB2C1A9" w14:textId="77777777">
        <w:trPr>
          <w:cantSplit/>
        </w:trPr>
        <w:tc>
          <w:tcPr>
            <w:tcW w:w="4853" w:type="dxa"/>
            <w:tcBorders>
              <w:top w:val="nil"/>
              <w:bottom w:val="nil"/>
            </w:tcBorders>
            <w:vAlign w:val="bottom"/>
          </w:tcPr>
          <w:p w14:paraId="3DE1232E" w14:textId="77777777" w:rsidR="00171C5D" w:rsidRDefault="00000000">
            <w:pPr>
              <w:spacing w:beforeAutospacing="1" w:afterAutospacing="1"/>
            </w:pPr>
            <w:r>
              <w:rPr>
                <w:color w:val="000000"/>
              </w:rPr>
              <w:t>Homeless</w:t>
            </w:r>
          </w:p>
        </w:tc>
        <w:tc>
          <w:tcPr>
            <w:tcW w:w="1620" w:type="dxa"/>
            <w:tcBorders>
              <w:top w:val="nil"/>
              <w:bottom w:val="nil"/>
            </w:tcBorders>
            <w:vAlign w:val="bottom"/>
          </w:tcPr>
          <w:p w14:paraId="010F801E" w14:textId="77777777" w:rsidR="00171C5D" w:rsidRDefault="00000000">
            <w:pPr>
              <w:spacing w:beforeAutospacing="1" w:afterAutospacing="1"/>
              <w:jc w:val="right"/>
            </w:pPr>
            <w:r>
              <w:rPr>
                <w:color w:val="000000"/>
              </w:rPr>
              <w:t>3,377</w:t>
            </w:r>
          </w:p>
        </w:tc>
      </w:tr>
      <w:tr w:rsidR="00171C5D" w14:paraId="0EAD6D0E" w14:textId="77777777">
        <w:trPr>
          <w:cantSplit/>
        </w:trPr>
        <w:tc>
          <w:tcPr>
            <w:tcW w:w="4853" w:type="dxa"/>
            <w:tcBorders>
              <w:top w:val="nil"/>
              <w:bottom w:val="nil"/>
            </w:tcBorders>
            <w:vAlign w:val="bottom"/>
          </w:tcPr>
          <w:p w14:paraId="46BC442A" w14:textId="77777777" w:rsidR="00171C5D" w:rsidRDefault="00000000">
            <w:pPr>
              <w:spacing w:beforeAutospacing="1" w:afterAutospacing="1"/>
            </w:pPr>
            <w:r>
              <w:rPr>
                <w:color w:val="000000"/>
              </w:rPr>
              <w:t>Non-Homeless</w:t>
            </w:r>
          </w:p>
        </w:tc>
        <w:tc>
          <w:tcPr>
            <w:tcW w:w="1620" w:type="dxa"/>
            <w:tcBorders>
              <w:top w:val="nil"/>
              <w:bottom w:val="nil"/>
            </w:tcBorders>
            <w:vAlign w:val="bottom"/>
          </w:tcPr>
          <w:p w14:paraId="3F8FE769" w14:textId="77777777" w:rsidR="00171C5D" w:rsidRDefault="00000000">
            <w:pPr>
              <w:spacing w:beforeAutospacing="1" w:afterAutospacing="1"/>
              <w:jc w:val="right"/>
            </w:pPr>
            <w:r>
              <w:rPr>
                <w:color w:val="000000"/>
              </w:rPr>
              <w:t>778</w:t>
            </w:r>
          </w:p>
        </w:tc>
      </w:tr>
      <w:tr w:rsidR="00171C5D" w14:paraId="5EBE4A96" w14:textId="77777777">
        <w:trPr>
          <w:cantSplit/>
        </w:trPr>
        <w:tc>
          <w:tcPr>
            <w:tcW w:w="4853" w:type="dxa"/>
            <w:tcBorders>
              <w:top w:val="nil"/>
              <w:bottom w:val="nil"/>
            </w:tcBorders>
            <w:vAlign w:val="bottom"/>
          </w:tcPr>
          <w:p w14:paraId="2E3D779F" w14:textId="77777777" w:rsidR="00171C5D" w:rsidRDefault="00000000">
            <w:pPr>
              <w:spacing w:beforeAutospacing="1" w:afterAutospacing="1"/>
            </w:pPr>
            <w:r>
              <w:rPr>
                <w:color w:val="000000"/>
              </w:rPr>
              <w:t>Special-Needs</w:t>
            </w:r>
          </w:p>
        </w:tc>
        <w:tc>
          <w:tcPr>
            <w:tcW w:w="1620" w:type="dxa"/>
            <w:tcBorders>
              <w:top w:val="nil"/>
              <w:bottom w:val="nil"/>
            </w:tcBorders>
            <w:vAlign w:val="bottom"/>
          </w:tcPr>
          <w:p w14:paraId="0722D7D2" w14:textId="77777777" w:rsidR="00171C5D" w:rsidRDefault="00000000">
            <w:pPr>
              <w:spacing w:beforeAutospacing="1" w:afterAutospacing="1"/>
              <w:jc w:val="right"/>
            </w:pPr>
            <w:r>
              <w:rPr>
                <w:color w:val="000000"/>
              </w:rPr>
              <w:t>890</w:t>
            </w:r>
          </w:p>
        </w:tc>
      </w:tr>
      <w:tr w:rsidR="00171C5D" w14:paraId="02EDB7C6" w14:textId="77777777">
        <w:trPr>
          <w:cantSplit/>
        </w:trPr>
        <w:tc>
          <w:tcPr>
            <w:tcW w:w="4853" w:type="dxa"/>
            <w:tcBorders>
              <w:top w:val="nil"/>
              <w:bottom w:val="nil"/>
            </w:tcBorders>
            <w:vAlign w:val="bottom"/>
          </w:tcPr>
          <w:p w14:paraId="45403848" w14:textId="77777777" w:rsidR="00171C5D" w:rsidRDefault="00000000">
            <w:pPr>
              <w:spacing w:beforeAutospacing="1" w:afterAutospacing="1"/>
            </w:pPr>
            <w:r>
              <w:rPr>
                <w:color w:val="000000"/>
              </w:rPr>
              <w:t>Total</w:t>
            </w:r>
          </w:p>
        </w:tc>
        <w:tc>
          <w:tcPr>
            <w:tcW w:w="1620" w:type="dxa"/>
            <w:tcBorders>
              <w:top w:val="nil"/>
              <w:bottom w:val="nil"/>
            </w:tcBorders>
            <w:vAlign w:val="bottom"/>
          </w:tcPr>
          <w:p w14:paraId="4BBBE930" w14:textId="77777777" w:rsidR="00171C5D" w:rsidRDefault="00000000">
            <w:pPr>
              <w:spacing w:beforeAutospacing="1" w:afterAutospacing="1"/>
              <w:jc w:val="right"/>
            </w:pPr>
            <w:r>
              <w:rPr>
                <w:color w:val="000000"/>
              </w:rPr>
              <w:t>5,045</w:t>
            </w:r>
          </w:p>
        </w:tc>
      </w:tr>
    </w:tbl>
    <w:p w14:paraId="74AFD888" w14:textId="77777777" w:rsidR="00171C5D"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14:paraId="1912BCB1" w14:textId="77777777" w:rsidR="00171C5D" w:rsidRDefault="00171C5D">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171C5D" w14:paraId="14F462DD" w14:textId="77777777">
        <w:trPr>
          <w:cantSplit/>
          <w:tblHeader/>
        </w:trPr>
        <w:tc>
          <w:tcPr>
            <w:tcW w:w="6473" w:type="dxa"/>
            <w:gridSpan w:val="2"/>
          </w:tcPr>
          <w:p w14:paraId="7EDD9043" w14:textId="77777777" w:rsidR="00171C5D" w:rsidRDefault="00000000">
            <w:pPr>
              <w:keepNext/>
              <w:widowControl w:val="0"/>
              <w:spacing w:after="0" w:line="240" w:lineRule="auto"/>
              <w:jc w:val="center"/>
              <w:rPr>
                <w:b/>
                <w:szCs w:val="24"/>
              </w:rPr>
            </w:pPr>
            <w:r>
              <w:rPr>
                <w:b/>
              </w:rPr>
              <w:t>One Year Goals for the Number of Households Supported Through</w:t>
            </w:r>
          </w:p>
        </w:tc>
      </w:tr>
      <w:tr w:rsidR="00171C5D" w14:paraId="14E432C2" w14:textId="77777777">
        <w:trPr>
          <w:cantSplit/>
        </w:trPr>
        <w:tc>
          <w:tcPr>
            <w:tcW w:w="4853" w:type="dxa"/>
            <w:tcBorders>
              <w:top w:val="nil"/>
              <w:bottom w:val="nil"/>
            </w:tcBorders>
            <w:vAlign w:val="bottom"/>
          </w:tcPr>
          <w:p w14:paraId="7E8169F6" w14:textId="77777777" w:rsidR="00171C5D" w:rsidRDefault="00000000">
            <w:pPr>
              <w:spacing w:beforeAutospacing="1" w:afterAutospacing="1"/>
            </w:pPr>
            <w:r>
              <w:rPr>
                <w:color w:val="000000"/>
              </w:rPr>
              <w:t>Rental Assistance</w:t>
            </w:r>
          </w:p>
        </w:tc>
        <w:tc>
          <w:tcPr>
            <w:tcW w:w="1620" w:type="dxa"/>
            <w:tcBorders>
              <w:top w:val="nil"/>
              <w:bottom w:val="nil"/>
            </w:tcBorders>
            <w:vAlign w:val="bottom"/>
          </w:tcPr>
          <w:p w14:paraId="45CAEC9E" w14:textId="77777777" w:rsidR="00171C5D" w:rsidRDefault="00000000">
            <w:pPr>
              <w:spacing w:beforeAutospacing="1" w:afterAutospacing="1"/>
              <w:jc w:val="right"/>
            </w:pPr>
            <w:r>
              <w:rPr>
                <w:color w:val="000000"/>
              </w:rPr>
              <w:t>4,294</w:t>
            </w:r>
          </w:p>
        </w:tc>
      </w:tr>
      <w:tr w:rsidR="00171C5D" w14:paraId="04DC4730" w14:textId="77777777">
        <w:trPr>
          <w:cantSplit/>
        </w:trPr>
        <w:tc>
          <w:tcPr>
            <w:tcW w:w="4853" w:type="dxa"/>
            <w:tcBorders>
              <w:top w:val="nil"/>
              <w:bottom w:val="nil"/>
            </w:tcBorders>
            <w:vAlign w:val="bottom"/>
          </w:tcPr>
          <w:p w14:paraId="117BE949" w14:textId="77777777" w:rsidR="00171C5D" w:rsidRDefault="00000000">
            <w:pPr>
              <w:spacing w:beforeAutospacing="1" w:afterAutospacing="1"/>
            </w:pPr>
            <w:r>
              <w:rPr>
                <w:color w:val="000000"/>
              </w:rPr>
              <w:t>The Production of New Units</w:t>
            </w:r>
          </w:p>
        </w:tc>
        <w:tc>
          <w:tcPr>
            <w:tcW w:w="1620" w:type="dxa"/>
            <w:tcBorders>
              <w:top w:val="nil"/>
              <w:bottom w:val="nil"/>
            </w:tcBorders>
            <w:vAlign w:val="bottom"/>
          </w:tcPr>
          <w:p w14:paraId="59B160D2" w14:textId="77777777" w:rsidR="00171C5D" w:rsidRDefault="00000000">
            <w:pPr>
              <w:spacing w:beforeAutospacing="1" w:afterAutospacing="1"/>
              <w:jc w:val="right"/>
            </w:pPr>
            <w:r>
              <w:rPr>
                <w:color w:val="000000"/>
              </w:rPr>
              <w:t>337</w:t>
            </w:r>
          </w:p>
        </w:tc>
      </w:tr>
      <w:tr w:rsidR="00171C5D" w14:paraId="719B0738" w14:textId="77777777">
        <w:trPr>
          <w:cantSplit/>
        </w:trPr>
        <w:tc>
          <w:tcPr>
            <w:tcW w:w="4853" w:type="dxa"/>
            <w:tcBorders>
              <w:top w:val="nil"/>
              <w:bottom w:val="nil"/>
            </w:tcBorders>
            <w:vAlign w:val="bottom"/>
          </w:tcPr>
          <w:p w14:paraId="11A3A953" w14:textId="77777777" w:rsidR="00171C5D" w:rsidRDefault="00000000">
            <w:pPr>
              <w:spacing w:beforeAutospacing="1" w:afterAutospacing="1"/>
            </w:pPr>
            <w:r>
              <w:rPr>
                <w:color w:val="000000"/>
              </w:rPr>
              <w:t>Rehab of Existing Units</w:t>
            </w:r>
          </w:p>
        </w:tc>
        <w:tc>
          <w:tcPr>
            <w:tcW w:w="1620" w:type="dxa"/>
            <w:tcBorders>
              <w:top w:val="nil"/>
              <w:bottom w:val="nil"/>
            </w:tcBorders>
            <w:vAlign w:val="bottom"/>
          </w:tcPr>
          <w:p w14:paraId="4EA3810F" w14:textId="77777777" w:rsidR="00171C5D" w:rsidRDefault="00000000">
            <w:pPr>
              <w:spacing w:beforeAutospacing="1" w:afterAutospacing="1"/>
              <w:jc w:val="right"/>
            </w:pPr>
            <w:r>
              <w:rPr>
                <w:color w:val="000000"/>
              </w:rPr>
              <w:t>414</w:t>
            </w:r>
          </w:p>
        </w:tc>
      </w:tr>
      <w:tr w:rsidR="00171C5D" w14:paraId="7EFAA8DE" w14:textId="77777777">
        <w:trPr>
          <w:cantSplit/>
        </w:trPr>
        <w:tc>
          <w:tcPr>
            <w:tcW w:w="4853" w:type="dxa"/>
            <w:tcBorders>
              <w:top w:val="nil"/>
              <w:bottom w:val="nil"/>
            </w:tcBorders>
            <w:vAlign w:val="bottom"/>
          </w:tcPr>
          <w:p w14:paraId="6370E953" w14:textId="77777777" w:rsidR="00171C5D" w:rsidRDefault="00000000">
            <w:pPr>
              <w:spacing w:beforeAutospacing="1" w:afterAutospacing="1"/>
            </w:pPr>
            <w:r>
              <w:rPr>
                <w:color w:val="000000"/>
              </w:rPr>
              <w:t>Acquisition of Existing Units</w:t>
            </w:r>
          </w:p>
        </w:tc>
        <w:tc>
          <w:tcPr>
            <w:tcW w:w="1620" w:type="dxa"/>
            <w:tcBorders>
              <w:top w:val="nil"/>
              <w:bottom w:val="nil"/>
            </w:tcBorders>
            <w:vAlign w:val="bottom"/>
          </w:tcPr>
          <w:p w14:paraId="7DB40A43" w14:textId="77777777" w:rsidR="00171C5D" w:rsidRDefault="00000000">
            <w:pPr>
              <w:spacing w:beforeAutospacing="1" w:afterAutospacing="1"/>
              <w:jc w:val="right"/>
            </w:pPr>
            <w:r>
              <w:rPr>
                <w:color w:val="000000"/>
              </w:rPr>
              <w:t>0</w:t>
            </w:r>
          </w:p>
        </w:tc>
      </w:tr>
      <w:tr w:rsidR="00171C5D" w14:paraId="1D648C1C" w14:textId="77777777">
        <w:trPr>
          <w:cantSplit/>
        </w:trPr>
        <w:tc>
          <w:tcPr>
            <w:tcW w:w="4853" w:type="dxa"/>
            <w:tcBorders>
              <w:top w:val="nil"/>
              <w:bottom w:val="nil"/>
            </w:tcBorders>
            <w:vAlign w:val="bottom"/>
          </w:tcPr>
          <w:p w14:paraId="712D48A7" w14:textId="77777777" w:rsidR="00171C5D" w:rsidRDefault="00000000">
            <w:pPr>
              <w:spacing w:beforeAutospacing="1" w:afterAutospacing="1"/>
            </w:pPr>
            <w:r>
              <w:rPr>
                <w:color w:val="000000"/>
              </w:rPr>
              <w:t>Total</w:t>
            </w:r>
          </w:p>
        </w:tc>
        <w:tc>
          <w:tcPr>
            <w:tcW w:w="1620" w:type="dxa"/>
            <w:tcBorders>
              <w:top w:val="nil"/>
              <w:bottom w:val="nil"/>
            </w:tcBorders>
            <w:vAlign w:val="bottom"/>
          </w:tcPr>
          <w:p w14:paraId="7149202F" w14:textId="77777777" w:rsidR="00171C5D" w:rsidRDefault="00000000">
            <w:pPr>
              <w:spacing w:beforeAutospacing="1" w:afterAutospacing="1"/>
              <w:jc w:val="right"/>
            </w:pPr>
            <w:r>
              <w:rPr>
                <w:color w:val="000000"/>
              </w:rPr>
              <w:t>5,045</w:t>
            </w:r>
          </w:p>
        </w:tc>
      </w:tr>
    </w:tbl>
    <w:p w14:paraId="355FCA57" w14:textId="77777777" w:rsidR="00171C5D"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14:paraId="36E23FFA" w14:textId="77777777" w:rsidR="00171C5D" w:rsidRDefault="00171C5D">
      <w:pPr>
        <w:keepNext/>
        <w:widowControl w:val="0"/>
        <w:spacing w:line="204" w:lineRule="auto"/>
        <w:rPr>
          <w:b/>
          <w:sz w:val="24"/>
          <w:szCs w:val="24"/>
        </w:rPr>
      </w:pPr>
    </w:p>
    <w:p w14:paraId="20BD2187" w14:textId="77777777" w:rsidR="00171C5D" w:rsidRDefault="00000000">
      <w:pPr>
        <w:keepNext/>
        <w:widowControl w:val="0"/>
        <w:spacing w:line="204" w:lineRule="auto"/>
        <w:rPr>
          <w:b/>
          <w:sz w:val="24"/>
          <w:szCs w:val="24"/>
        </w:rPr>
      </w:pPr>
      <w:r>
        <w:rPr>
          <w:b/>
          <w:sz w:val="24"/>
          <w:szCs w:val="24"/>
        </w:rPr>
        <w:t>Discussion</w:t>
      </w:r>
    </w:p>
    <w:p w14:paraId="12BC0B5E" w14:textId="77777777" w:rsidR="00171C5D" w:rsidRDefault="00000000">
      <w:pPr>
        <w:keepNext/>
        <w:widowControl w:val="0"/>
        <w:spacing w:beforeAutospacing="1" w:afterAutospacing="1"/>
        <w:rPr>
          <w:b/>
          <w:sz w:val="24"/>
          <w:szCs w:val="24"/>
        </w:rPr>
      </w:pPr>
      <w:r>
        <w:rPr>
          <w:rFonts w:cs="Arial"/>
        </w:rPr>
        <w:t>Using HOME, LIHTC, and other governmental and private funds 321 units of new rental housing will be added to the affordable housing inventory. Through CDBG and private funding sources, 5 units of rental housing will be rehabilitated.</w:t>
      </w:r>
    </w:p>
    <w:p w14:paraId="530CC806" w14:textId="77777777" w:rsidR="00171C5D" w:rsidRDefault="00000000">
      <w:pPr>
        <w:keepNext/>
        <w:widowControl w:val="0"/>
        <w:spacing w:beforeAutospacing="1" w:afterAutospacing="1"/>
        <w:rPr>
          <w:b/>
          <w:sz w:val="24"/>
          <w:szCs w:val="24"/>
        </w:rPr>
      </w:pPr>
      <w:r>
        <w:rPr>
          <w:rFonts w:cs="Arial"/>
        </w:rPr>
        <w:t>Affordable housing for homebuyers and homeowners will also be developed and preserved. Through CDBG, state, local, and private funds, 11 vacant or new units will be rehabbed or constructed and sold to low- and moderate-income households. Nine (9) vacant and derelict units will be acquired and stabilized for later rehabilitation and sale to LMI homebuyers. We project DHCD and various non-profits will assist 412 households with emergency roof repairs, other large repair and system replacement projects, and repairs and aging-in-place modifications. 185 households with young children will receive lead remediation services. Additionally, 3,590 LMI households will complete homeownership counseling, and 200 households will receive First-Time Homebuyer incentives funded with CDBG and other governmental and private funds.</w:t>
      </w:r>
    </w:p>
    <w:p w14:paraId="2C6274D5" w14:textId="77777777" w:rsidR="00171C5D" w:rsidRDefault="00000000">
      <w:pPr>
        <w:keepNext/>
        <w:widowControl w:val="0"/>
        <w:spacing w:beforeAutospacing="1" w:afterAutospacing="1"/>
        <w:rPr>
          <w:b/>
          <w:sz w:val="24"/>
          <w:szCs w:val="24"/>
        </w:rPr>
      </w:pPr>
      <w:r>
        <w:rPr>
          <w:rFonts w:cs="Arial"/>
        </w:rPr>
        <w:t xml:space="preserve">Some 617 households will receive tenant based rental assistance and services with HOPWA funds. Two hundred (200) households facing homelessness will be assisted through Rapid Rehousing and Eviction Prevention programs. 2,537 homeless </w:t>
      </w:r>
      <w:proofErr w:type="gramStart"/>
      <w:r>
        <w:rPr>
          <w:rFonts w:cs="Arial"/>
        </w:rPr>
        <w:t>persons</w:t>
      </w:r>
      <w:proofErr w:type="gramEnd"/>
      <w:r>
        <w:rPr>
          <w:rFonts w:cs="Arial"/>
        </w:rPr>
        <w:t xml:space="preserve"> will be sheltered and receive services through homeless </w:t>
      </w:r>
      <w:r>
        <w:rPr>
          <w:rFonts w:cs="Arial"/>
        </w:rPr>
        <w:lastRenderedPageBreak/>
        <w:t>support agencies.</w:t>
      </w:r>
    </w:p>
    <w:p w14:paraId="5828E35F" w14:textId="77777777" w:rsidR="00171C5D" w:rsidRDefault="00171C5D">
      <w:pPr>
        <w:rPr>
          <w:rFonts w:cs="Arial"/>
        </w:rPr>
      </w:pPr>
    </w:p>
    <w:p w14:paraId="33A7A51B" w14:textId="77777777" w:rsidR="00171C5D" w:rsidRDefault="00171C5D">
      <w:pPr>
        <w:rPr>
          <w:rFonts w:cs="Arial"/>
        </w:rPr>
      </w:pPr>
    </w:p>
    <w:p w14:paraId="4175BE5F" w14:textId="77777777" w:rsidR="00171C5D" w:rsidRDefault="00000000">
      <w:pPr>
        <w:pStyle w:val="Heading2"/>
        <w:pageBreakBefore/>
        <w:widowControl w:val="0"/>
        <w:rPr>
          <w:rFonts w:ascii="Calibri" w:hAnsi="Calibri"/>
          <w:i w:val="0"/>
        </w:rPr>
      </w:pPr>
      <w:r>
        <w:rPr>
          <w:rFonts w:ascii="Calibri" w:hAnsi="Calibri"/>
          <w:i w:val="0"/>
        </w:rPr>
        <w:lastRenderedPageBreak/>
        <w:t xml:space="preserve">AP-60 Public Housing </w:t>
      </w:r>
      <w:r>
        <w:t>–</w:t>
      </w:r>
      <w:r>
        <w:rPr>
          <w:i w:val="0"/>
        </w:rPr>
        <w:t xml:space="preserve"> 91.220(h)</w:t>
      </w:r>
    </w:p>
    <w:p w14:paraId="5D1519E0" w14:textId="77777777" w:rsidR="00171C5D" w:rsidRDefault="00000000">
      <w:pPr>
        <w:keepNext/>
        <w:widowControl w:val="0"/>
        <w:spacing w:line="204" w:lineRule="auto"/>
        <w:rPr>
          <w:b/>
          <w:sz w:val="24"/>
          <w:szCs w:val="24"/>
        </w:rPr>
      </w:pPr>
      <w:r>
        <w:rPr>
          <w:b/>
          <w:sz w:val="24"/>
          <w:szCs w:val="24"/>
        </w:rPr>
        <w:t>Introduction</w:t>
      </w:r>
    </w:p>
    <w:p w14:paraId="0D8E9EA3" w14:textId="77777777" w:rsidR="00171C5D" w:rsidRDefault="00000000">
      <w:pPr>
        <w:keepNext/>
        <w:widowControl w:val="0"/>
        <w:spacing w:beforeAutospacing="1" w:afterAutospacing="1"/>
        <w:rPr>
          <w:b/>
          <w:sz w:val="24"/>
          <w:szCs w:val="24"/>
        </w:rPr>
      </w:pPr>
      <w:r>
        <w:rPr>
          <w:rFonts w:cs="Arial"/>
        </w:rPr>
        <w:t xml:space="preserve">For an extensive description of actions and activities that the Housing Authority of Baltimore City (HABC) will undertake during CFY 2026 please review their most recent Moving to Work Annual Plan Fiscal Year 2025 at </w:t>
      </w:r>
      <w:r>
        <w:rPr>
          <w:rFonts w:cs="Arial"/>
          <w:u w:val="single"/>
        </w:rPr>
        <w:t>habc-2025-annual-mtw-plan_final-draft_r1.pdf</w:t>
      </w:r>
      <w:r>
        <w:rPr>
          <w:rFonts w:cs="Arial"/>
        </w:rPr>
        <w:t xml:space="preserve">. In PY 2018 the HABC converted from </w:t>
      </w:r>
      <w:proofErr w:type="gramStart"/>
      <w:r>
        <w:rPr>
          <w:rFonts w:cs="Arial"/>
        </w:rPr>
        <w:t>a July</w:t>
      </w:r>
      <w:proofErr w:type="gramEnd"/>
      <w:r>
        <w:rPr>
          <w:rFonts w:cs="Arial"/>
        </w:rPr>
        <w:t xml:space="preserve"> 1st through June 30th fiscal year to a to a January through December fiscal year. The actions summarized below will be under way in the second half of the </w:t>
      </w:r>
      <w:proofErr w:type="gramStart"/>
      <w:r>
        <w:rPr>
          <w:rFonts w:cs="Arial"/>
        </w:rPr>
        <w:t>time period</w:t>
      </w:r>
      <w:proofErr w:type="gramEnd"/>
      <w:r>
        <w:rPr>
          <w:rFonts w:cs="Arial"/>
        </w:rPr>
        <w:t xml:space="preserve"> covered by the PY 2025 Annual Action Plan. </w:t>
      </w:r>
    </w:p>
    <w:p w14:paraId="33689B26" w14:textId="77777777" w:rsidR="00171C5D" w:rsidRDefault="00000000">
      <w:pPr>
        <w:keepNext/>
        <w:widowControl w:val="0"/>
        <w:rPr>
          <w:b/>
          <w:sz w:val="24"/>
          <w:szCs w:val="24"/>
        </w:rPr>
      </w:pPr>
      <w:r>
        <w:rPr>
          <w:b/>
          <w:sz w:val="24"/>
          <w:szCs w:val="24"/>
        </w:rPr>
        <w:t xml:space="preserve">Actions planned during the next year to address the needs </w:t>
      </w:r>
      <w:proofErr w:type="gramStart"/>
      <w:r>
        <w:rPr>
          <w:b/>
          <w:sz w:val="24"/>
          <w:szCs w:val="24"/>
        </w:rPr>
        <w:t>to</w:t>
      </w:r>
      <w:proofErr w:type="gramEnd"/>
      <w:r>
        <w:rPr>
          <w:b/>
          <w:sz w:val="24"/>
          <w:szCs w:val="24"/>
        </w:rPr>
        <w:t xml:space="preserve"> public housing</w:t>
      </w:r>
    </w:p>
    <w:p w14:paraId="4F14C2AB" w14:textId="77777777" w:rsidR="00171C5D" w:rsidRDefault="00000000">
      <w:pPr>
        <w:keepNext/>
        <w:widowControl w:val="0"/>
        <w:spacing w:beforeAutospacing="1" w:afterAutospacing="1"/>
        <w:rPr>
          <w:rFonts w:cs="Arial"/>
        </w:rPr>
      </w:pPr>
      <w:r>
        <w:rPr>
          <w:rFonts w:cs="Arial"/>
        </w:rPr>
        <w:t xml:space="preserve">The wide range of actions that </w:t>
      </w:r>
      <w:proofErr w:type="gramStart"/>
      <w:r>
        <w:rPr>
          <w:rFonts w:cs="Arial"/>
        </w:rPr>
        <w:t>the HABC</w:t>
      </w:r>
      <w:proofErr w:type="gramEnd"/>
      <w:r>
        <w:rPr>
          <w:rFonts w:cs="Arial"/>
        </w:rPr>
        <w:t xml:space="preserve"> will pursue in addressing public housing needs include:</w:t>
      </w:r>
    </w:p>
    <w:p w14:paraId="6A7CE6FF" w14:textId="77777777" w:rsidR="00171C5D" w:rsidRDefault="00000000">
      <w:pPr>
        <w:keepNext/>
        <w:widowControl w:val="0"/>
        <w:spacing w:beforeAutospacing="1" w:afterAutospacing="1"/>
        <w:rPr>
          <w:rFonts w:cs="Arial"/>
        </w:rPr>
      </w:pPr>
      <w:r>
        <w:rPr>
          <w:rFonts w:cs="Arial"/>
          <w:b/>
        </w:rPr>
        <w:t>Current Projects Under Construction, In Acquisition, or In Financing</w:t>
      </w:r>
      <w:r>
        <w:rPr>
          <w:rFonts w:cs="Arial"/>
        </w:rPr>
        <w:t>:</w:t>
      </w:r>
    </w:p>
    <w:p w14:paraId="54B6AC69" w14:textId="77777777" w:rsidR="00171C5D" w:rsidRDefault="00000000">
      <w:pPr>
        <w:keepNext/>
        <w:widowControl w:val="0"/>
        <w:spacing w:beforeAutospacing="1" w:afterAutospacing="1"/>
        <w:rPr>
          <w:rFonts w:cs="Arial"/>
        </w:rPr>
      </w:pPr>
      <w:r>
        <w:rPr>
          <w:rFonts w:cs="Arial"/>
        </w:rPr>
        <w:t>Projected to be Under Construction from July 1, 2025 – June 30, 2026:</w:t>
      </w:r>
    </w:p>
    <w:p w14:paraId="7F0127EF" w14:textId="77777777" w:rsidR="00171C5D" w:rsidRDefault="00000000">
      <w:pPr>
        <w:keepNext/>
        <w:widowControl w:val="0"/>
        <w:numPr>
          <w:ilvl w:val="0"/>
          <w:numId w:val="3"/>
        </w:numPr>
        <w:spacing w:beforeAutospacing="1" w:afterAutospacing="1"/>
        <w:rPr>
          <w:rFonts w:cs="Arial"/>
        </w:rPr>
      </w:pPr>
      <w:r>
        <w:rPr>
          <w:rFonts w:cs="Arial"/>
        </w:rPr>
        <w:t>PSO Choice Neighborhoods – Perkins Phases III, IV and V and Somerset Phase IV.</w:t>
      </w:r>
    </w:p>
    <w:p w14:paraId="6A65FC53" w14:textId="77777777" w:rsidR="00171C5D" w:rsidRDefault="00000000">
      <w:pPr>
        <w:keepNext/>
        <w:widowControl w:val="0"/>
        <w:spacing w:beforeAutospacing="1" w:afterAutospacing="1"/>
        <w:rPr>
          <w:rFonts w:cs="Arial"/>
        </w:rPr>
      </w:pPr>
      <w:r>
        <w:rPr>
          <w:rFonts w:cs="Arial"/>
        </w:rPr>
        <w:t>Planned Acquisitions:</w:t>
      </w:r>
    </w:p>
    <w:p w14:paraId="658DE9C5" w14:textId="77777777" w:rsidR="00171C5D" w:rsidRDefault="00000000">
      <w:pPr>
        <w:keepNext/>
        <w:widowControl w:val="0"/>
        <w:numPr>
          <w:ilvl w:val="0"/>
          <w:numId w:val="3"/>
        </w:numPr>
        <w:spacing w:beforeAutospacing="1" w:afterAutospacing="1"/>
        <w:rPr>
          <w:rFonts w:cs="Arial"/>
        </w:rPr>
      </w:pPr>
      <w:r>
        <w:rPr>
          <w:rFonts w:cs="Arial"/>
        </w:rPr>
        <w:t>Two additional Bailey 10 units and Renaissance at Reservoir Hill.</w:t>
      </w:r>
    </w:p>
    <w:p w14:paraId="104E20CE" w14:textId="77777777" w:rsidR="00171C5D" w:rsidRDefault="00000000">
      <w:pPr>
        <w:keepNext/>
        <w:widowControl w:val="0"/>
        <w:spacing w:beforeAutospacing="1" w:afterAutospacing="1"/>
        <w:rPr>
          <w:rFonts w:cs="Arial"/>
        </w:rPr>
      </w:pPr>
      <w:r>
        <w:rPr>
          <w:rFonts w:cs="Arial"/>
        </w:rPr>
        <w:t>Current Projects in Planning for Future Redevelopment:</w:t>
      </w:r>
    </w:p>
    <w:p w14:paraId="204D4A71" w14:textId="77777777" w:rsidR="00171C5D" w:rsidRDefault="00000000">
      <w:pPr>
        <w:keepNext/>
        <w:widowControl w:val="0"/>
        <w:numPr>
          <w:ilvl w:val="0"/>
          <w:numId w:val="3"/>
        </w:numPr>
        <w:spacing w:beforeAutospacing="1" w:afterAutospacing="1"/>
        <w:rPr>
          <w:rFonts w:cs="Arial"/>
        </w:rPr>
      </w:pPr>
      <w:r>
        <w:rPr>
          <w:rFonts w:cs="Arial"/>
        </w:rPr>
        <w:t>HABC is planning improvements to the following developments and sites: Poe Homes, Albemarle undeveloped sites, Orchard Ridge undeveloped lots to Habitat for Humanity for homeownership and Scattered Sites; Albermarle Square (Flag House I &amp; II) and Sharp Leadenhall.</w:t>
      </w:r>
    </w:p>
    <w:p w14:paraId="502D8F17" w14:textId="77777777" w:rsidR="00171C5D" w:rsidRDefault="00000000">
      <w:pPr>
        <w:keepNext/>
        <w:widowControl w:val="0"/>
        <w:spacing w:beforeAutospacing="1" w:afterAutospacing="1"/>
        <w:rPr>
          <w:rFonts w:cs="Arial"/>
        </w:rPr>
      </w:pPr>
      <w:r>
        <w:rPr>
          <w:rFonts w:cs="Arial"/>
        </w:rPr>
        <w:t>Projected Financings:</w:t>
      </w:r>
    </w:p>
    <w:p w14:paraId="7ED74E7A" w14:textId="77777777" w:rsidR="00171C5D" w:rsidRDefault="00000000">
      <w:pPr>
        <w:keepNext/>
        <w:widowControl w:val="0"/>
        <w:numPr>
          <w:ilvl w:val="0"/>
          <w:numId w:val="3"/>
        </w:numPr>
        <w:spacing w:beforeAutospacing="1" w:afterAutospacing="1"/>
        <w:rPr>
          <w:rFonts w:cs="Arial"/>
        </w:rPr>
      </w:pPr>
      <w:r>
        <w:rPr>
          <w:rFonts w:cs="Arial"/>
        </w:rPr>
        <w:t xml:space="preserve">Somerset Phase IV projected closing in July 2025; Perkins Phase IV projected closing March 2025; Perkins Phase 5 projected closing before/in Q4 2025; O’Donnell Heights Phase 2A projected closing on/before July 11, 2025; Laurens House/ Carey House projected closing before/in Q4 2025; </w:t>
      </w:r>
      <w:proofErr w:type="spellStart"/>
      <w:r>
        <w:rPr>
          <w:rFonts w:cs="Arial"/>
        </w:rPr>
        <w:t>Dukeland</w:t>
      </w:r>
      <w:proofErr w:type="spellEnd"/>
      <w:r>
        <w:rPr>
          <w:rFonts w:cs="Arial"/>
        </w:rPr>
        <w:t xml:space="preserve"> projected in Q1 2026</w:t>
      </w:r>
    </w:p>
    <w:p w14:paraId="24EA9875" w14:textId="77777777" w:rsidR="00171C5D" w:rsidRDefault="00000000">
      <w:pPr>
        <w:keepNext/>
        <w:widowControl w:val="0"/>
        <w:spacing w:beforeAutospacing="1" w:afterAutospacing="1"/>
        <w:rPr>
          <w:rFonts w:cs="Arial"/>
        </w:rPr>
      </w:pPr>
      <w:r>
        <w:rPr>
          <w:rFonts w:cs="Arial"/>
        </w:rPr>
        <w:t xml:space="preserve">Through HABC’s instrumentality Baltimore Affordable Housing Inc (BAHD): Arbor Oaks and the Townes of Terraces financial closing projected in/before Q3 </w:t>
      </w:r>
      <w:proofErr w:type="gramStart"/>
      <w:r>
        <w:rPr>
          <w:rFonts w:cs="Arial"/>
        </w:rPr>
        <w:t>2025;</w:t>
      </w:r>
      <w:proofErr w:type="gramEnd"/>
    </w:p>
    <w:p w14:paraId="56E776FA" w14:textId="77777777" w:rsidR="00171C5D" w:rsidRDefault="00000000">
      <w:pPr>
        <w:keepNext/>
        <w:widowControl w:val="0"/>
        <w:spacing w:beforeAutospacing="1" w:afterAutospacing="1"/>
        <w:rPr>
          <w:rFonts w:cs="Arial"/>
        </w:rPr>
      </w:pPr>
      <w:r>
        <w:rPr>
          <w:rFonts w:cs="Arial"/>
        </w:rPr>
        <w:t>Resident Services:</w:t>
      </w:r>
    </w:p>
    <w:p w14:paraId="08CC30B0" w14:textId="77777777" w:rsidR="00171C5D" w:rsidRDefault="00000000">
      <w:pPr>
        <w:keepNext/>
        <w:widowControl w:val="0"/>
        <w:numPr>
          <w:ilvl w:val="0"/>
          <w:numId w:val="3"/>
        </w:numPr>
        <w:spacing w:beforeAutospacing="1" w:afterAutospacing="1"/>
        <w:rPr>
          <w:rFonts w:cs="Arial"/>
        </w:rPr>
      </w:pPr>
      <w:r>
        <w:rPr>
          <w:rFonts w:cs="Arial"/>
        </w:rPr>
        <w:lastRenderedPageBreak/>
        <w:t xml:space="preserve">HABC continues to serve its public housing residents through a wide array of self-sufficiency, personal development and supportive service </w:t>
      </w:r>
      <w:proofErr w:type="gramStart"/>
      <w:r>
        <w:rPr>
          <w:rFonts w:cs="Arial"/>
        </w:rPr>
        <w:t>program</w:t>
      </w:r>
      <w:proofErr w:type="gramEnd"/>
      <w:r>
        <w:rPr>
          <w:rFonts w:cs="Arial"/>
        </w:rPr>
        <w:t>, including adult education classes, career development and workplace readiness training, support services for our senior population, and educational and mentoring support for our youth.</w:t>
      </w:r>
    </w:p>
    <w:p w14:paraId="1C747794" w14:textId="77777777" w:rsidR="00171C5D" w:rsidRDefault="00000000">
      <w:pPr>
        <w:keepNext/>
        <w:widowControl w:val="0"/>
        <w:spacing w:beforeAutospacing="1" w:afterAutospacing="1"/>
        <w:rPr>
          <w:rFonts w:cs="Arial"/>
        </w:rPr>
      </w:pPr>
      <w:r>
        <w:rPr>
          <w:rFonts w:cs="Arial"/>
        </w:rPr>
        <w:t>Safety &amp; Security Initiatives:</w:t>
      </w:r>
    </w:p>
    <w:p w14:paraId="3B1C1F9D" w14:textId="77777777" w:rsidR="00171C5D" w:rsidRDefault="00000000">
      <w:pPr>
        <w:keepNext/>
        <w:widowControl w:val="0"/>
        <w:numPr>
          <w:ilvl w:val="0"/>
          <w:numId w:val="3"/>
        </w:numPr>
        <w:spacing w:beforeAutospacing="1" w:afterAutospacing="1"/>
        <w:rPr>
          <w:rFonts w:cs="Arial"/>
        </w:rPr>
      </w:pPr>
      <w:r>
        <w:rPr>
          <w:rFonts w:cs="Arial"/>
        </w:rPr>
        <w:t>To enhance the safety and security of its residents, HABC continues the installation of enhanced security key systems, install security screens on accessible windows, add additional security cameras and security lighting, and replace the entrance doors and interior common entrance lighting in designated priority units and buildings.</w:t>
      </w:r>
    </w:p>
    <w:p w14:paraId="40F5A260" w14:textId="77777777" w:rsidR="00171C5D" w:rsidRDefault="00000000">
      <w:pPr>
        <w:keepNext/>
        <w:widowControl w:val="0"/>
        <w:rPr>
          <w:b/>
          <w:sz w:val="24"/>
          <w:szCs w:val="24"/>
        </w:rPr>
      </w:pPr>
      <w:r>
        <w:rPr>
          <w:b/>
          <w:sz w:val="24"/>
          <w:szCs w:val="24"/>
        </w:rPr>
        <w:t>Actions to encourage public housing residents to become more involved in management and participate in homeownership</w:t>
      </w:r>
    </w:p>
    <w:p w14:paraId="2A631CA3" w14:textId="77777777" w:rsidR="00171C5D" w:rsidRDefault="00000000">
      <w:pPr>
        <w:keepNext/>
        <w:widowControl w:val="0"/>
        <w:spacing w:beforeAutospacing="1" w:afterAutospacing="1"/>
        <w:rPr>
          <w:rFonts w:cs="Arial"/>
        </w:rPr>
      </w:pPr>
      <w:r>
        <w:rPr>
          <w:rFonts w:cs="Arial"/>
          <w:b/>
        </w:rPr>
        <w:t>MTW Activities:</w:t>
      </w:r>
      <w:r>
        <w:rPr>
          <w:rFonts w:cs="Arial"/>
        </w:rPr>
        <w:t xml:space="preserve"> HABC will continue to utilize its MTW authority to implement initiatives such as the Housing Quality Standards Modifications (HQS) and Enhancements program, the Healthy Opportunities Program (HOP) as well as its Leasing Incentive Program. Under the HQS Modifications and Enhancements activity, HABC looks to reduce the number of re-inspections by providing owners with checklists prior to initial inspections and charging fees for certain re-inspections. The HOP program targets mobility assistance to families where moves may help to improve their outcomes related to health. HABC’s Leasing Incentive Program to encourage and expand landlord participation in its Housing Choice Voucher Program.</w:t>
      </w:r>
    </w:p>
    <w:p w14:paraId="374E51F0" w14:textId="77777777" w:rsidR="00171C5D" w:rsidRDefault="00000000">
      <w:pPr>
        <w:keepNext/>
        <w:widowControl w:val="0"/>
        <w:spacing w:beforeAutospacing="1" w:afterAutospacing="1"/>
        <w:rPr>
          <w:rFonts w:cs="Arial"/>
        </w:rPr>
      </w:pPr>
      <w:r>
        <w:rPr>
          <w:rFonts w:cs="Arial"/>
        </w:rPr>
        <w:t xml:space="preserve">In 2025, HABC will utilize MTW Block Grant funds to support the preservation of affordable rental housing units through implementation of a new Affordable Housing Preservation Fund (AHP) activity. AHP funds will support revitalization of rental units that are not public housing or Housing Choice Voucher units, and which are targeted for households earning 80% and </w:t>
      </w:r>
      <w:proofErr w:type="gramStart"/>
      <w:r>
        <w:rPr>
          <w:rFonts w:cs="Arial"/>
        </w:rPr>
        <w:t>below of</w:t>
      </w:r>
      <w:proofErr w:type="gramEnd"/>
      <w:r>
        <w:rPr>
          <w:rFonts w:cs="Arial"/>
        </w:rPr>
        <w:t xml:space="preserve"> Area Median Income. Proposed revitalization efforts in FY 2025 include seven developments which were originally funded with state provided capital funds under the Partnership Rental Housing Program and three mixed finance developments involving Low Income Housing Tax Credits. AHP funds will be used for repairs and improvements to ensure that all units meet HQS standards. Two hundred and sixty-three units are slated for revitalization under this activity in FY 2025.</w:t>
      </w:r>
    </w:p>
    <w:p w14:paraId="52AA2AEB" w14:textId="77777777" w:rsidR="00171C5D" w:rsidRDefault="00000000">
      <w:pPr>
        <w:keepNext/>
        <w:widowControl w:val="0"/>
        <w:spacing w:beforeAutospacing="1" w:afterAutospacing="1"/>
        <w:rPr>
          <w:rFonts w:cs="Arial"/>
        </w:rPr>
      </w:pPr>
      <w:r>
        <w:rPr>
          <w:rFonts w:cs="Arial"/>
          <w:b/>
        </w:rPr>
        <w:t>MTW Homeownership Programs</w:t>
      </w:r>
      <w:r>
        <w:rPr>
          <w:rFonts w:cs="Arial"/>
        </w:rPr>
        <w:t>: The MTW Homeownership Program works with public housing residents, HCV participants and other eligible low-income households in preparation for first-time homeownership. As part of this program, HABC utilizes MTW flexibility to create and fund a limited number of Special Homeownership Vouchers (SHV) for use by eligible low-income households who purchase a scattered site unit.</w:t>
      </w:r>
    </w:p>
    <w:p w14:paraId="653D6531" w14:textId="77777777" w:rsidR="00171C5D" w:rsidRDefault="00000000">
      <w:pPr>
        <w:keepNext/>
        <w:widowControl w:val="0"/>
        <w:spacing w:beforeAutospacing="1" w:afterAutospacing="1"/>
        <w:rPr>
          <w:rFonts w:cs="Arial"/>
        </w:rPr>
      </w:pPr>
      <w:r>
        <w:rPr>
          <w:rFonts w:cs="Arial"/>
          <w:b/>
        </w:rPr>
        <w:t>Actions to encourage PH residents to engage in management</w:t>
      </w:r>
      <w:r>
        <w:rPr>
          <w:rFonts w:cs="Arial"/>
        </w:rPr>
        <w:t xml:space="preserve">: HABC will continue to provide residents </w:t>
      </w:r>
      <w:r>
        <w:rPr>
          <w:rFonts w:cs="Arial"/>
        </w:rPr>
        <w:lastRenderedPageBreak/>
        <w:t>with access to training and capacity building opportunities so they can meaningfully engage with HABC around major developments and provide clear opportunities for resident and stakeholder engagement.</w:t>
      </w:r>
    </w:p>
    <w:p w14:paraId="7F5FF13F" w14:textId="77777777" w:rsidR="00171C5D" w:rsidRDefault="00000000">
      <w:pPr>
        <w:keepNext/>
        <w:widowControl w:val="0"/>
        <w:rPr>
          <w:b/>
          <w:sz w:val="24"/>
          <w:szCs w:val="24"/>
        </w:rPr>
      </w:pPr>
      <w:r>
        <w:rPr>
          <w:b/>
          <w:sz w:val="24"/>
          <w:szCs w:val="24"/>
        </w:rPr>
        <w:t xml:space="preserve">If the PHA is designated as troubled, describe the </w:t>
      </w:r>
      <w:proofErr w:type="gramStart"/>
      <w:r>
        <w:rPr>
          <w:b/>
          <w:sz w:val="24"/>
          <w:szCs w:val="24"/>
        </w:rPr>
        <w:t>manner in which</w:t>
      </w:r>
      <w:proofErr w:type="gramEnd"/>
      <w:r>
        <w:rPr>
          <w:b/>
          <w:sz w:val="24"/>
          <w:szCs w:val="24"/>
        </w:rPr>
        <w:t xml:space="preserve"> financial assistance will be provided or other assistance </w:t>
      </w:r>
    </w:p>
    <w:p w14:paraId="1EB70609" w14:textId="77777777" w:rsidR="00171C5D" w:rsidRDefault="00000000">
      <w:pPr>
        <w:keepNext/>
        <w:widowControl w:val="0"/>
        <w:spacing w:beforeAutospacing="1" w:afterAutospacing="1"/>
        <w:rPr>
          <w:rFonts w:cs="Arial"/>
          <w:szCs w:val="26"/>
        </w:rPr>
      </w:pPr>
      <w:r>
        <w:rPr>
          <w:rFonts w:cs="Arial"/>
        </w:rPr>
        <w:t xml:space="preserve">HABC is not </w:t>
      </w:r>
      <w:proofErr w:type="gramStart"/>
      <w:r>
        <w:rPr>
          <w:rFonts w:cs="Arial"/>
        </w:rPr>
        <w:t>designated</w:t>
      </w:r>
      <w:proofErr w:type="gramEnd"/>
      <w:r>
        <w:rPr>
          <w:rFonts w:cs="Arial"/>
        </w:rPr>
        <w:t xml:space="preserve"> a troubled PHA. </w:t>
      </w:r>
    </w:p>
    <w:p w14:paraId="6E6F3C64" w14:textId="77777777" w:rsidR="00171C5D" w:rsidRDefault="00000000">
      <w:pPr>
        <w:keepNext/>
        <w:widowControl w:val="0"/>
        <w:spacing w:line="204" w:lineRule="auto"/>
        <w:rPr>
          <w:b/>
          <w:sz w:val="24"/>
          <w:szCs w:val="24"/>
        </w:rPr>
      </w:pPr>
      <w:r>
        <w:rPr>
          <w:b/>
          <w:sz w:val="24"/>
          <w:szCs w:val="24"/>
        </w:rPr>
        <w:t>Discussion</w:t>
      </w:r>
    </w:p>
    <w:p w14:paraId="3C6CC037" w14:textId="77777777" w:rsidR="00171C5D" w:rsidRDefault="00171C5D">
      <w:pPr>
        <w:keepNext/>
        <w:widowControl w:val="0"/>
        <w:spacing w:line="204" w:lineRule="auto"/>
        <w:rPr>
          <w:b/>
          <w:sz w:val="24"/>
          <w:szCs w:val="24"/>
        </w:rPr>
      </w:pPr>
    </w:p>
    <w:p w14:paraId="3316C96F" w14:textId="77777777" w:rsidR="00171C5D" w:rsidRDefault="00171C5D">
      <w:pPr>
        <w:pStyle w:val="Heading2"/>
        <w:widowControl w:val="0"/>
        <w:rPr>
          <w:rFonts w:ascii="Calibri" w:hAnsi="Calibri"/>
          <w:i w:val="0"/>
        </w:rPr>
      </w:pPr>
    </w:p>
    <w:p w14:paraId="0C3A7DCC" w14:textId="77777777" w:rsidR="00171C5D" w:rsidRDefault="00000000">
      <w:pPr>
        <w:pStyle w:val="Heading2"/>
        <w:pageBreakBefore/>
        <w:widowControl w:val="0"/>
        <w:rPr>
          <w:rFonts w:ascii="Calibri" w:hAnsi="Calibri"/>
          <w:i w:val="0"/>
        </w:rPr>
      </w:pPr>
      <w:r>
        <w:rPr>
          <w:rFonts w:ascii="Calibri" w:hAnsi="Calibri"/>
          <w:i w:val="0"/>
        </w:rPr>
        <w:lastRenderedPageBreak/>
        <w:t>AP-65 Homeless and Other Special Needs Activities – 91.220(i)</w:t>
      </w:r>
    </w:p>
    <w:p w14:paraId="3AF89FC0" w14:textId="77777777" w:rsidR="00171C5D" w:rsidRDefault="00000000">
      <w:pPr>
        <w:keepNext/>
        <w:widowControl w:val="0"/>
        <w:spacing w:line="204" w:lineRule="auto"/>
        <w:rPr>
          <w:b/>
          <w:sz w:val="24"/>
          <w:szCs w:val="24"/>
        </w:rPr>
      </w:pPr>
      <w:r>
        <w:rPr>
          <w:b/>
          <w:sz w:val="24"/>
          <w:szCs w:val="24"/>
        </w:rPr>
        <w:t>Introduction</w:t>
      </w:r>
    </w:p>
    <w:p w14:paraId="6F155BC5" w14:textId="77777777" w:rsidR="00171C5D" w:rsidRDefault="00000000">
      <w:pPr>
        <w:keepNext/>
        <w:widowControl w:val="0"/>
        <w:spacing w:beforeAutospacing="1" w:afterAutospacing="1"/>
        <w:rPr>
          <w:b/>
          <w:sz w:val="24"/>
          <w:szCs w:val="24"/>
        </w:rPr>
      </w:pPr>
      <w:r>
        <w:rPr>
          <w:rFonts w:cs="Arial"/>
        </w:rPr>
        <w:t xml:space="preserve">The City of Baltimore responds to the needs of </w:t>
      </w:r>
      <w:proofErr w:type="gramStart"/>
      <w:r>
        <w:rPr>
          <w:rFonts w:cs="Arial"/>
        </w:rPr>
        <w:t>persons</w:t>
      </w:r>
      <w:proofErr w:type="gramEnd"/>
      <w:r>
        <w:rPr>
          <w:rFonts w:cs="Arial"/>
        </w:rPr>
        <w:t xml:space="preserve"> experiencing homelessness through the Continuum of Care (CoC), a collaborative network of service providers, government agencies, and housing providers that provide a range of housing interventions and services to people experiencing homelessness in Baltimore City.</w:t>
      </w:r>
    </w:p>
    <w:p w14:paraId="216E784C" w14:textId="77777777" w:rsidR="00171C5D" w:rsidRDefault="00000000">
      <w:pPr>
        <w:keepNext/>
        <w:widowControl w:val="0"/>
        <w:spacing w:beforeAutospacing="1" w:afterAutospacing="1"/>
        <w:rPr>
          <w:b/>
          <w:sz w:val="24"/>
          <w:szCs w:val="24"/>
        </w:rPr>
      </w:pPr>
      <w:r>
        <w:rPr>
          <w:rFonts w:cs="Arial"/>
        </w:rPr>
        <w:t>As the Collaborative Applicant, HMIS Lead agency, and Recipient for CoC and ESG funds, the Mayor’s Office of Homeless Services (MOHS) contracts with nonprofit agencies to provide a wide range of services that meet the needs of households considered at-risk of homelessness and those currently experiencing homelessness. MOHS implements the one-year Action Plan goals and steps through planning, program development, investment, and contract monitoring of projects in three strategic investment areas:</w:t>
      </w:r>
    </w:p>
    <w:p w14:paraId="2609CC75" w14:textId="77777777" w:rsidR="00171C5D" w:rsidRDefault="00000000">
      <w:pPr>
        <w:keepNext/>
        <w:widowControl w:val="0"/>
        <w:numPr>
          <w:ilvl w:val="0"/>
          <w:numId w:val="3"/>
        </w:numPr>
        <w:spacing w:beforeAutospacing="1" w:afterAutospacing="1"/>
        <w:rPr>
          <w:b/>
          <w:sz w:val="24"/>
          <w:szCs w:val="24"/>
        </w:rPr>
      </w:pPr>
      <w:r>
        <w:rPr>
          <w:rFonts w:cs="Arial"/>
        </w:rPr>
        <w:t>Homelessness Prevention – Is to assist individuals and families facing a housing crisis. Assistance is in the form of direct financial assistance to prevent an eviction or when needed to provide housing relocation services. Additionally, support services that include financial counseling, landlord mediation, legal support, and diversion strategies may be provided to ensure households do not become homeless and enter the shelter system.</w:t>
      </w:r>
    </w:p>
    <w:p w14:paraId="60F57DF7" w14:textId="77777777" w:rsidR="00171C5D" w:rsidRDefault="00000000">
      <w:pPr>
        <w:keepNext/>
        <w:widowControl w:val="0"/>
        <w:numPr>
          <w:ilvl w:val="0"/>
          <w:numId w:val="3"/>
        </w:numPr>
        <w:spacing w:beforeAutospacing="1" w:afterAutospacing="1"/>
        <w:rPr>
          <w:b/>
          <w:sz w:val="24"/>
          <w:szCs w:val="24"/>
        </w:rPr>
      </w:pPr>
      <w:r>
        <w:rPr>
          <w:rFonts w:cs="Arial"/>
        </w:rPr>
        <w:t>Homeless Intervention Services – Is to assist individuals and families who are experiencing homelessness with basic needs such as food/meals, hygiene, clothing, connections to health and behavioral health services, mainstream benefits, and case management/supportive services to increase access to permanent housing.</w:t>
      </w:r>
    </w:p>
    <w:p w14:paraId="44EE684A" w14:textId="77777777" w:rsidR="00171C5D" w:rsidRDefault="00000000">
      <w:pPr>
        <w:keepNext/>
        <w:widowControl w:val="0"/>
        <w:numPr>
          <w:ilvl w:val="0"/>
          <w:numId w:val="3"/>
        </w:numPr>
        <w:spacing w:beforeAutospacing="1" w:afterAutospacing="1"/>
        <w:rPr>
          <w:b/>
          <w:sz w:val="24"/>
          <w:szCs w:val="24"/>
        </w:rPr>
      </w:pPr>
      <w:r>
        <w:rPr>
          <w:rFonts w:cs="Arial"/>
        </w:rPr>
        <w:t>Housing Placement, Stabilization, and Support – Is to assist by utilizing the “housing first approach,” which is to move individuals and families experiencing homelessness rapidly into housing and provide support services to ensure the household can remain and maintain housing.</w:t>
      </w:r>
    </w:p>
    <w:p w14:paraId="0923A685" w14:textId="77777777" w:rsidR="00171C5D" w:rsidRDefault="00000000">
      <w:pPr>
        <w:keepNext/>
        <w:widowControl w:val="0"/>
        <w:spacing w:beforeAutospacing="1" w:afterAutospacing="1"/>
        <w:rPr>
          <w:b/>
          <w:sz w:val="24"/>
          <w:szCs w:val="24"/>
        </w:rPr>
      </w:pPr>
      <w:r>
        <w:rPr>
          <w:rFonts w:cs="Arial"/>
        </w:rPr>
        <w:t>Activities to be undertaken to address housing and service needs of non-homeless special needs populations include:</w:t>
      </w:r>
    </w:p>
    <w:p w14:paraId="37B7E24E" w14:textId="77777777" w:rsidR="00171C5D" w:rsidRDefault="00000000">
      <w:pPr>
        <w:keepNext/>
        <w:widowControl w:val="0"/>
        <w:numPr>
          <w:ilvl w:val="0"/>
          <w:numId w:val="3"/>
        </w:numPr>
        <w:spacing w:beforeAutospacing="1" w:afterAutospacing="1"/>
        <w:rPr>
          <w:b/>
          <w:sz w:val="24"/>
          <w:szCs w:val="24"/>
        </w:rPr>
      </w:pPr>
      <w:r>
        <w:rPr>
          <w:rFonts w:cs="Arial"/>
        </w:rPr>
        <w:t>Assisting renters with disabilities to become homeowners through down payment assistance: CDBG funds will be used to assist 6 households with disabilities become homeowners through the DHCD Office of Homeownership.</w:t>
      </w:r>
    </w:p>
    <w:p w14:paraId="2471A7B3" w14:textId="77777777" w:rsidR="00171C5D" w:rsidRDefault="00000000">
      <w:pPr>
        <w:keepNext/>
        <w:widowControl w:val="0"/>
        <w:numPr>
          <w:ilvl w:val="0"/>
          <w:numId w:val="3"/>
        </w:numPr>
        <w:spacing w:beforeAutospacing="1" w:afterAutospacing="1"/>
        <w:rPr>
          <w:b/>
          <w:sz w:val="24"/>
          <w:szCs w:val="24"/>
        </w:rPr>
      </w:pPr>
      <w:r>
        <w:rPr>
          <w:rFonts w:cs="Arial"/>
        </w:rPr>
        <w:t xml:space="preserve">Providing rental assistance and services to </w:t>
      </w:r>
      <w:proofErr w:type="gramStart"/>
      <w:r>
        <w:rPr>
          <w:rFonts w:cs="Arial"/>
        </w:rPr>
        <w:t>persons</w:t>
      </w:r>
      <w:proofErr w:type="gramEnd"/>
      <w:r>
        <w:rPr>
          <w:rFonts w:cs="Arial"/>
        </w:rPr>
        <w:t xml:space="preserve"> living with HIV/AIDS. Using HOPWA funds, approximately 600 households will receive </w:t>
      </w:r>
      <w:proofErr w:type="gramStart"/>
      <w:r>
        <w:rPr>
          <w:rFonts w:cs="Arial"/>
        </w:rPr>
        <w:t>tenant based</w:t>
      </w:r>
      <w:proofErr w:type="gramEnd"/>
      <w:r>
        <w:rPr>
          <w:rFonts w:cs="Arial"/>
        </w:rPr>
        <w:t xml:space="preserve"> rental assistant subsidies throughout the multi-county EMSA.</w:t>
      </w:r>
    </w:p>
    <w:p w14:paraId="373B3DF1" w14:textId="77777777" w:rsidR="00171C5D" w:rsidRDefault="00000000">
      <w:pPr>
        <w:keepNext/>
        <w:widowControl w:val="0"/>
        <w:numPr>
          <w:ilvl w:val="0"/>
          <w:numId w:val="3"/>
        </w:numPr>
        <w:spacing w:beforeAutospacing="1" w:afterAutospacing="1"/>
        <w:rPr>
          <w:b/>
          <w:sz w:val="24"/>
          <w:szCs w:val="24"/>
        </w:rPr>
      </w:pPr>
      <w:r>
        <w:rPr>
          <w:rFonts w:cs="Arial"/>
        </w:rPr>
        <w:t xml:space="preserve">Provision of supportive services to the elderly including nutrition, social activities, health maintenance and transportation: CDBG funds will be used to provide a range of services to </w:t>
      </w:r>
      <w:r>
        <w:rPr>
          <w:rFonts w:cs="Arial"/>
        </w:rPr>
        <w:lastRenderedPageBreak/>
        <w:t xml:space="preserve">some 3,100 elderly </w:t>
      </w:r>
      <w:proofErr w:type="gramStart"/>
      <w:r>
        <w:rPr>
          <w:rFonts w:cs="Arial"/>
        </w:rPr>
        <w:t>persons</w:t>
      </w:r>
      <w:proofErr w:type="gramEnd"/>
      <w:r>
        <w:rPr>
          <w:rFonts w:cs="Arial"/>
        </w:rPr>
        <w:t xml:space="preserve"> through the Health Department’s Commission on Aging and various non-profit subrecipients.</w:t>
      </w:r>
    </w:p>
    <w:p w14:paraId="76C41E10" w14:textId="77777777" w:rsidR="00171C5D" w:rsidRDefault="00000000">
      <w:pPr>
        <w:keepNext/>
        <w:widowControl w:val="0"/>
        <w:numPr>
          <w:ilvl w:val="0"/>
          <w:numId w:val="3"/>
        </w:numPr>
        <w:spacing w:beforeAutospacing="1" w:afterAutospacing="1"/>
        <w:rPr>
          <w:b/>
          <w:sz w:val="24"/>
          <w:szCs w:val="24"/>
        </w:rPr>
      </w:pPr>
      <w:r>
        <w:rPr>
          <w:rFonts w:cs="Arial"/>
        </w:rPr>
        <w:t>Funding critical repairs to houses occupied by low-income elderly owners: CDBG funds will be used to repair some 300 single family units through the Emergency Roof Repair, Deferred Loan, and various non-profit owner-occupied repair programs.</w:t>
      </w:r>
    </w:p>
    <w:p w14:paraId="5CC25202" w14:textId="77777777" w:rsidR="00171C5D" w:rsidRDefault="00000000">
      <w:pPr>
        <w:keepNext/>
        <w:widowControl w:val="0"/>
        <w:numPr>
          <w:ilvl w:val="0"/>
          <w:numId w:val="3"/>
        </w:numPr>
        <w:spacing w:beforeAutospacing="1" w:afterAutospacing="1"/>
        <w:rPr>
          <w:b/>
          <w:sz w:val="24"/>
          <w:szCs w:val="24"/>
        </w:rPr>
      </w:pPr>
      <w:r>
        <w:rPr>
          <w:rFonts w:cs="Arial"/>
        </w:rPr>
        <w:t>Provision of Subsistence funds to prevent evictions and funds to legal services non-profits to provide counsel and court representation for LMI renters facing eviction.</w:t>
      </w:r>
    </w:p>
    <w:p w14:paraId="25D0FCDB" w14:textId="77777777" w:rsidR="00171C5D" w:rsidRDefault="00000000">
      <w:pPr>
        <w:keepNext/>
        <w:widowControl w:val="0"/>
        <w:rPr>
          <w:b/>
          <w:sz w:val="24"/>
          <w:szCs w:val="24"/>
        </w:rPr>
      </w:pPr>
      <w:r>
        <w:rPr>
          <w:b/>
          <w:sz w:val="24"/>
          <w:szCs w:val="24"/>
        </w:rPr>
        <w:t>Describe the jurisdictions one-year goals and actions for reducing and ending homelessness including</w:t>
      </w:r>
    </w:p>
    <w:p w14:paraId="5D812723" w14:textId="77777777" w:rsidR="00171C5D" w:rsidRDefault="00000000">
      <w:pPr>
        <w:keepNext/>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and assessing their individual needs</w:t>
      </w:r>
    </w:p>
    <w:p w14:paraId="3EC751CA" w14:textId="77777777" w:rsidR="00171C5D" w:rsidRDefault="00000000">
      <w:pPr>
        <w:keepNext/>
        <w:widowControl w:val="0"/>
        <w:spacing w:beforeAutospacing="1" w:afterAutospacing="1"/>
        <w:rPr>
          <w:rFonts w:cs="Arial"/>
        </w:rPr>
      </w:pPr>
      <w:r>
        <w:rPr>
          <w:rFonts w:cs="Arial"/>
        </w:rPr>
        <w:t xml:space="preserve">The </w:t>
      </w:r>
      <w:proofErr w:type="gramStart"/>
      <w:r>
        <w:rPr>
          <w:rFonts w:cs="Arial"/>
        </w:rPr>
        <w:t>CFY 2026</w:t>
      </w:r>
      <w:proofErr w:type="gramEnd"/>
      <w:r>
        <w:rPr>
          <w:rFonts w:cs="Arial"/>
        </w:rPr>
        <w:t xml:space="preserve"> one-year </w:t>
      </w:r>
      <w:proofErr w:type="gramStart"/>
      <w:r>
        <w:rPr>
          <w:rFonts w:cs="Arial"/>
        </w:rPr>
        <w:t>goals and actions</w:t>
      </w:r>
      <w:proofErr w:type="gramEnd"/>
      <w:r>
        <w:rPr>
          <w:rFonts w:cs="Arial"/>
        </w:rPr>
        <w:t xml:space="preserve"> for homeless outreach and assessment include:</w:t>
      </w:r>
    </w:p>
    <w:p w14:paraId="7F9997AF" w14:textId="77777777" w:rsidR="00171C5D" w:rsidRDefault="00000000">
      <w:pPr>
        <w:keepNext/>
        <w:widowControl w:val="0"/>
        <w:numPr>
          <w:ilvl w:val="0"/>
          <w:numId w:val="3"/>
        </w:numPr>
        <w:spacing w:beforeAutospacing="1" w:afterAutospacing="1"/>
        <w:rPr>
          <w:rFonts w:cs="Arial"/>
        </w:rPr>
      </w:pPr>
      <w:r>
        <w:rPr>
          <w:rFonts w:cs="Arial"/>
        </w:rPr>
        <w:t>Increase engagement with street outreach services</w:t>
      </w:r>
    </w:p>
    <w:p w14:paraId="425D0498" w14:textId="77777777" w:rsidR="00171C5D" w:rsidRDefault="00000000">
      <w:pPr>
        <w:keepNext/>
        <w:widowControl w:val="0"/>
        <w:numPr>
          <w:ilvl w:val="0"/>
          <w:numId w:val="3"/>
        </w:numPr>
        <w:spacing w:beforeAutospacing="1" w:afterAutospacing="1"/>
        <w:rPr>
          <w:rFonts w:cs="Arial"/>
        </w:rPr>
      </w:pPr>
      <w:r>
        <w:rPr>
          <w:rFonts w:cs="Arial"/>
        </w:rPr>
        <w:t>Increase referrals to permanent and temporary housing</w:t>
      </w:r>
    </w:p>
    <w:p w14:paraId="058603FA" w14:textId="77777777" w:rsidR="00171C5D" w:rsidRDefault="00000000">
      <w:pPr>
        <w:keepNext/>
        <w:widowControl w:val="0"/>
        <w:numPr>
          <w:ilvl w:val="0"/>
          <w:numId w:val="3"/>
        </w:numPr>
        <w:spacing w:beforeAutospacing="1" w:afterAutospacing="1"/>
        <w:rPr>
          <w:rFonts w:cs="Arial"/>
        </w:rPr>
      </w:pPr>
      <w:r>
        <w:rPr>
          <w:rFonts w:cs="Arial"/>
        </w:rPr>
        <w:t>Continue the Hands in Partnership coalition, a group of street outreach providers co-led by MOHS and Behavioral Health Systems Baltimore staff who meet weekly to discuss best practices, progress in engaging unsheltered homeless people in services, and coordinate care for individuals living on the street. The coalition has representatives from all city-funded street outreach programs, outreach partnering programs, navigators and day centers that serve unsheltered homeless people, government agencies, and the Baltimore Police department.</w:t>
      </w:r>
    </w:p>
    <w:p w14:paraId="01534F9D" w14:textId="77777777" w:rsidR="00171C5D" w:rsidRDefault="00000000">
      <w:pPr>
        <w:keepNext/>
        <w:widowControl w:val="0"/>
        <w:numPr>
          <w:ilvl w:val="0"/>
          <w:numId w:val="3"/>
        </w:numPr>
        <w:spacing w:beforeAutospacing="1" w:afterAutospacing="1"/>
        <w:rPr>
          <w:rFonts w:cs="Arial"/>
        </w:rPr>
      </w:pPr>
      <w:r>
        <w:rPr>
          <w:rFonts w:cs="Arial"/>
        </w:rPr>
        <w:t>Work with the CoC to design a system that uses data to improve system performance and ultimately reduce homelessness.</w:t>
      </w:r>
    </w:p>
    <w:p w14:paraId="7421D994" w14:textId="77777777" w:rsidR="00171C5D" w:rsidRDefault="00000000">
      <w:pPr>
        <w:keepNext/>
        <w:widowControl w:val="0"/>
        <w:numPr>
          <w:ilvl w:val="0"/>
          <w:numId w:val="3"/>
        </w:numPr>
        <w:spacing w:beforeAutospacing="1" w:afterAutospacing="1"/>
        <w:rPr>
          <w:rFonts w:cs="Arial"/>
        </w:rPr>
      </w:pPr>
      <w:r>
        <w:rPr>
          <w:rFonts w:cs="Arial"/>
        </w:rPr>
        <w:t>Map outreach efforts for the full geographic jurisdiction to ensure outreach can reach all unsheltered individuals in the community.</w:t>
      </w:r>
    </w:p>
    <w:p w14:paraId="51A4EEAA" w14:textId="77777777" w:rsidR="00171C5D" w:rsidRDefault="00000000">
      <w:pPr>
        <w:keepNext/>
        <w:widowControl w:val="0"/>
        <w:numPr>
          <w:ilvl w:val="0"/>
          <w:numId w:val="3"/>
        </w:numPr>
        <w:spacing w:beforeAutospacing="1" w:afterAutospacing="1"/>
        <w:rPr>
          <w:rFonts w:cs="Arial"/>
        </w:rPr>
      </w:pPr>
      <w:r>
        <w:rPr>
          <w:rFonts w:cs="Arial"/>
        </w:rPr>
        <w:t>Develop specific outreach policies that document and clearly state how outreach teams will be deployed and how they will work with each other to connect with individuals.</w:t>
      </w:r>
    </w:p>
    <w:p w14:paraId="3F64C45A" w14:textId="77777777" w:rsidR="00171C5D" w:rsidRDefault="00000000">
      <w:pPr>
        <w:keepNext/>
        <w:widowControl w:val="0"/>
        <w:numPr>
          <w:ilvl w:val="0"/>
          <w:numId w:val="3"/>
        </w:numPr>
        <w:spacing w:beforeAutospacing="1" w:afterAutospacing="1"/>
        <w:rPr>
          <w:rFonts w:cs="Arial"/>
        </w:rPr>
      </w:pPr>
      <w:r>
        <w:rPr>
          <w:rFonts w:cs="Arial"/>
        </w:rPr>
        <w:t>Continue to expand outreach supportive service partnerships to support the process of transitioning individuals experiencing homelessness into stable housing.</w:t>
      </w:r>
    </w:p>
    <w:p w14:paraId="17CD8D4F" w14:textId="77777777" w:rsidR="00171C5D" w:rsidRDefault="00000000">
      <w:pPr>
        <w:keepNext/>
        <w:widowControl w:val="0"/>
        <w:numPr>
          <w:ilvl w:val="0"/>
          <w:numId w:val="3"/>
        </w:numPr>
        <w:spacing w:beforeAutospacing="1" w:afterAutospacing="1"/>
        <w:rPr>
          <w:rFonts w:cs="Arial"/>
        </w:rPr>
      </w:pPr>
      <w:r>
        <w:rPr>
          <w:rFonts w:cs="Arial"/>
        </w:rPr>
        <w:t xml:space="preserve">Leverage Baltimore City Opioid Restitution Funds to develop a 24/7 Street Outreach Program for </w:t>
      </w:r>
      <w:proofErr w:type="gramStart"/>
      <w:r>
        <w:rPr>
          <w:rFonts w:cs="Arial"/>
        </w:rPr>
        <w:t>persons</w:t>
      </w:r>
      <w:proofErr w:type="gramEnd"/>
      <w:r>
        <w:rPr>
          <w:rFonts w:cs="Arial"/>
        </w:rPr>
        <w:t xml:space="preserve"> experiencing </w:t>
      </w:r>
      <w:proofErr w:type="gramStart"/>
      <w:r>
        <w:rPr>
          <w:rFonts w:cs="Arial"/>
        </w:rPr>
        <w:t>homelessness, at risk of homelessness</w:t>
      </w:r>
      <w:proofErr w:type="gramEnd"/>
      <w:r>
        <w:rPr>
          <w:rFonts w:cs="Arial"/>
        </w:rPr>
        <w:t>, or at risk of crises, including those with behavioral health needs.</w:t>
      </w:r>
    </w:p>
    <w:p w14:paraId="43B2D6A8" w14:textId="77777777" w:rsidR="00171C5D" w:rsidRDefault="00000000">
      <w:pPr>
        <w:keepNext/>
        <w:widowControl w:val="0"/>
        <w:numPr>
          <w:ilvl w:val="0"/>
          <w:numId w:val="3"/>
        </w:numPr>
        <w:spacing w:beforeAutospacing="1" w:afterAutospacing="1"/>
        <w:rPr>
          <w:rFonts w:cs="Arial"/>
        </w:rPr>
      </w:pPr>
      <w:r>
        <w:rPr>
          <w:rFonts w:cs="Arial"/>
        </w:rPr>
        <w:t xml:space="preserve">Addressing the emergency shelter and transitional housing needs of homeless </w:t>
      </w:r>
      <w:proofErr w:type="gramStart"/>
      <w:r>
        <w:rPr>
          <w:rFonts w:cs="Arial"/>
        </w:rPr>
        <w:t>persons</w:t>
      </w:r>
      <w:proofErr w:type="gramEnd"/>
    </w:p>
    <w:p w14:paraId="3EE1C565" w14:textId="77777777" w:rsidR="00171C5D" w:rsidRDefault="00000000">
      <w:pPr>
        <w:keepNext/>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765E8FC6" w14:textId="77777777" w:rsidR="00171C5D" w:rsidRDefault="00000000">
      <w:pPr>
        <w:keepNext/>
        <w:widowControl w:val="0"/>
        <w:spacing w:beforeAutospacing="1" w:afterAutospacing="1"/>
        <w:rPr>
          <w:rFonts w:cs="Arial"/>
        </w:rPr>
      </w:pPr>
      <w:r>
        <w:rPr>
          <w:rFonts w:cs="Arial"/>
        </w:rPr>
        <w:t xml:space="preserve">The CFY 2026 one-year goals for addressing the emergency shelter and transitional housing needs of homeless </w:t>
      </w:r>
      <w:proofErr w:type="gramStart"/>
      <w:r>
        <w:rPr>
          <w:rFonts w:cs="Arial"/>
        </w:rPr>
        <w:t>persons</w:t>
      </w:r>
      <w:proofErr w:type="gramEnd"/>
      <w:r>
        <w:rPr>
          <w:rFonts w:cs="Arial"/>
        </w:rPr>
        <w:t xml:space="preserve"> include:</w:t>
      </w:r>
    </w:p>
    <w:p w14:paraId="24BEA833" w14:textId="77777777" w:rsidR="00171C5D" w:rsidRDefault="00000000">
      <w:pPr>
        <w:keepNext/>
        <w:widowControl w:val="0"/>
        <w:numPr>
          <w:ilvl w:val="0"/>
          <w:numId w:val="3"/>
        </w:numPr>
        <w:spacing w:beforeAutospacing="1" w:afterAutospacing="1"/>
        <w:rPr>
          <w:rFonts w:cs="Arial"/>
        </w:rPr>
      </w:pPr>
      <w:r>
        <w:rPr>
          <w:rFonts w:cs="Arial"/>
        </w:rPr>
        <w:lastRenderedPageBreak/>
        <w:t>Increase exits to permanent housing and reduce length of stay in programs, thereby increasing the number of households that could be served by emergency and transitional housing and reducing returns to homelessness after program completion.</w:t>
      </w:r>
    </w:p>
    <w:p w14:paraId="41477D60" w14:textId="77777777" w:rsidR="00171C5D" w:rsidRDefault="00000000">
      <w:pPr>
        <w:keepNext/>
        <w:widowControl w:val="0"/>
        <w:numPr>
          <w:ilvl w:val="0"/>
          <w:numId w:val="3"/>
        </w:numPr>
        <w:spacing w:beforeAutospacing="1" w:afterAutospacing="1"/>
        <w:rPr>
          <w:rFonts w:cs="Arial"/>
        </w:rPr>
      </w:pPr>
      <w:r>
        <w:rPr>
          <w:rFonts w:cs="Arial"/>
        </w:rPr>
        <w:t>Improve response and referrals to emergency shelters and transitional housing through the centralized shelter hotline, known as Coordinated Entry.</w:t>
      </w:r>
    </w:p>
    <w:p w14:paraId="6EA1A556" w14:textId="77777777" w:rsidR="00171C5D" w:rsidRDefault="00000000">
      <w:pPr>
        <w:keepNext/>
        <w:widowControl w:val="0"/>
        <w:numPr>
          <w:ilvl w:val="0"/>
          <w:numId w:val="3"/>
        </w:numPr>
        <w:spacing w:beforeAutospacing="1" w:afterAutospacing="1"/>
        <w:rPr>
          <w:rFonts w:cs="Arial"/>
        </w:rPr>
      </w:pPr>
      <w:r>
        <w:rPr>
          <w:rFonts w:cs="Arial"/>
        </w:rPr>
        <w:t>Increase the number of shelter beds to serve unaccompanied homeless youth or other special populations with specific supportive service needs.</w:t>
      </w:r>
    </w:p>
    <w:p w14:paraId="4A50CFCC" w14:textId="77777777" w:rsidR="00171C5D" w:rsidRDefault="00000000">
      <w:pPr>
        <w:keepNext/>
        <w:widowControl w:val="0"/>
        <w:numPr>
          <w:ilvl w:val="0"/>
          <w:numId w:val="3"/>
        </w:numPr>
        <w:spacing w:beforeAutospacing="1" w:afterAutospacing="1"/>
        <w:rPr>
          <w:rFonts w:cs="Arial"/>
        </w:rPr>
      </w:pPr>
      <w:r>
        <w:rPr>
          <w:rFonts w:cs="Arial"/>
        </w:rPr>
        <w:t>Provide professional development and resource-sharing opportunities for staff at shelters and transitional housing programs to increase program outcomes and quality service delivery.</w:t>
      </w:r>
    </w:p>
    <w:p w14:paraId="1940B32F" w14:textId="77777777" w:rsidR="00171C5D" w:rsidRDefault="00000000">
      <w:pPr>
        <w:keepNext/>
        <w:widowControl w:val="0"/>
        <w:numPr>
          <w:ilvl w:val="0"/>
          <w:numId w:val="3"/>
        </w:numPr>
        <w:spacing w:beforeAutospacing="1" w:afterAutospacing="1"/>
        <w:rPr>
          <w:rFonts w:cs="Arial"/>
        </w:rPr>
      </w:pPr>
      <w:r>
        <w:rPr>
          <w:rFonts w:cs="Arial"/>
        </w:rPr>
        <w:t xml:space="preserve">Work with </w:t>
      </w:r>
      <w:proofErr w:type="gramStart"/>
      <w:r>
        <w:rPr>
          <w:rFonts w:cs="Arial"/>
        </w:rPr>
        <w:t>the CoC’s</w:t>
      </w:r>
      <w:proofErr w:type="gramEnd"/>
      <w:r>
        <w:rPr>
          <w:rFonts w:cs="Arial"/>
        </w:rPr>
        <w:t xml:space="preserve"> Shelter Transformation Committee to develop approved shelter standards</w:t>
      </w:r>
    </w:p>
    <w:p w14:paraId="6226BF08" w14:textId="77777777" w:rsidR="00171C5D" w:rsidRDefault="00000000">
      <w:pPr>
        <w:keepNext/>
        <w:widowControl w:val="0"/>
        <w:numPr>
          <w:ilvl w:val="0"/>
          <w:numId w:val="3"/>
        </w:numPr>
        <w:spacing w:beforeAutospacing="1" w:afterAutospacing="1"/>
        <w:rPr>
          <w:rFonts w:cs="Arial"/>
        </w:rPr>
      </w:pPr>
      <w:r>
        <w:rPr>
          <w:rFonts w:cs="Arial"/>
        </w:rPr>
        <w:t>Continue to expand supportive service partnerships to support the process of transitioning individuals experiencing homelessness into stable housing.</w:t>
      </w:r>
    </w:p>
    <w:p w14:paraId="037B6F26" w14:textId="77777777" w:rsidR="00171C5D" w:rsidRDefault="00000000">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3163C518" w14:textId="77777777" w:rsidR="00171C5D" w:rsidRDefault="00000000">
      <w:pPr>
        <w:keepNext/>
        <w:widowControl w:val="0"/>
        <w:spacing w:beforeAutospacing="1" w:afterAutospacing="1"/>
        <w:rPr>
          <w:rFonts w:cs="Arial"/>
        </w:rPr>
      </w:pPr>
      <w:r>
        <w:rPr>
          <w:rFonts w:cs="Arial"/>
        </w:rPr>
        <w:t xml:space="preserve">The CFY 2026 one-year goals for addressing the permanent housing needs of homeless </w:t>
      </w:r>
      <w:proofErr w:type="gramStart"/>
      <w:r>
        <w:rPr>
          <w:rFonts w:cs="Arial"/>
        </w:rPr>
        <w:t>persons</w:t>
      </w:r>
      <w:proofErr w:type="gramEnd"/>
      <w:r>
        <w:rPr>
          <w:rFonts w:cs="Arial"/>
        </w:rPr>
        <w:t xml:space="preserve"> include:</w:t>
      </w:r>
    </w:p>
    <w:p w14:paraId="5B8CFDB6" w14:textId="77777777" w:rsidR="00171C5D" w:rsidRDefault="00000000">
      <w:pPr>
        <w:keepNext/>
        <w:widowControl w:val="0"/>
        <w:numPr>
          <w:ilvl w:val="0"/>
          <w:numId w:val="3"/>
        </w:numPr>
        <w:spacing w:beforeAutospacing="1" w:afterAutospacing="1"/>
        <w:rPr>
          <w:rFonts w:cs="Arial"/>
        </w:rPr>
      </w:pPr>
      <w:r>
        <w:rPr>
          <w:rFonts w:cs="Arial"/>
        </w:rPr>
        <w:t>Increase the number of rapid re-housing slots for families, individuals, and unaccompanied youth.</w:t>
      </w:r>
    </w:p>
    <w:p w14:paraId="4AEE20B5" w14:textId="77777777" w:rsidR="00171C5D" w:rsidRDefault="00000000">
      <w:pPr>
        <w:keepNext/>
        <w:widowControl w:val="0"/>
        <w:numPr>
          <w:ilvl w:val="0"/>
          <w:numId w:val="3"/>
        </w:numPr>
        <w:spacing w:beforeAutospacing="1" w:afterAutospacing="1"/>
        <w:rPr>
          <w:rFonts w:cs="Arial"/>
        </w:rPr>
      </w:pPr>
      <w:r>
        <w:rPr>
          <w:rFonts w:cs="Arial"/>
        </w:rPr>
        <w:t>Increase permanent supportive housing beds and identify partnerships to increase availability of regular affordable housing by establishing a homeless preference (ex: HUD multifamily housing, Medicaid, senior housing, assisted living).</w:t>
      </w:r>
    </w:p>
    <w:p w14:paraId="2C69A7AE" w14:textId="77777777" w:rsidR="00171C5D" w:rsidRDefault="00000000">
      <w:pPr>
        <w:keepNext/>
        <w:widowControl w:val="0"/>
        <w:numPr>
          <w:ilvl w:val="0"/>
          <w:numId w:val="3"/>
        </w:numPr>
        <w:spacing w:beforeAutospacing="1" w:afterAutospacing="1"/>
        <w:rPr>
          <w:rFonts w:cs="Arial"/>
        </w:rPr>
      </w:pPr>
      <w:r>
        <w:rPr>
          <w:rFonts w:cs="Arial"/>
        </w:rPr>
        <w:t>Increase the availability of housing stabilization/diversion resources for households in rapid re-housing and permanent supportive housing.</w:t>
      </w:r>
    </w:p>
    <w:p w14:paraId="6C529593" w14:textId="77777777" w:rsidR="00171C5D" w:rsidRDefault="00000000">
      <w:pPr>
        <w:keepNext/>
        <w:widowControl w:val="0"/>
        <w:numPr>
          <w:ilvl w:val="0"/>
          <w:numId w:val="3"/>
        </w:numPr>
        <w:spacing w:beforeAutospacing="1" w:afterAutospacing="1"/>
        <w:rPr>
          <w:rFonts w:cs="Arial"/>
        </w:rPr>
      </w:pPr>
      <w:r>
        <w:rPr>
          <w:rFonts w:cs="Arial"/>
        </w:rPr>
        <w:t xml:space="preserve">The City of Baltimore will support nonprofit and public agencies in their applications for federal and state funds to develop additional housing with appropriate services for low-income </w:t>
      </w:r>
      <w:proofErr w:type="gramStart"/>
      <w:r>
        <w:rPr>
          <w:rFonts w:cs="Arial"/>
        </w:rPr>
        <w:t>persons</w:t>
      </w:r>
      <w:proofErr w:type="gramEnd"/>
      <w:r>
        <w:rPr>
          <w:rFonts w:cs="Arial"/>
        </w:rPr>
        <w:t xml:space="preserve"> with special needs.</w:t>
      </w:r>
    </w:p>
    <w:p w14:paraId="374120AA" w14:textId="77777777" w:rsidR="00171C5D" w:rsidRDefault="00000000">
      <w:pPr>
        <w:keepNext/>
        <w:widowControl w:val="0"/>
        <w:numPr>
          <w:ilvl w:val="0"/>
          <w:numId w:val="3"/>
        </w:numPr>
        <w:spacing w:beforeAutospacing="1" w:afterAutospacing="1"/>
        <w:rPr>
          <w:rFonts w:cs="Arial"/>
        </w:rPr>
      </w:pPr>
      <w:r>
        <w:rPr>
          <w:rFonts w:cs="Arial"/>
        </w:rPr>
        <w:t xml:space="preserve">Collaborate with </w:t>
      </w:r>
      <w:proofErr w:type="gramStart"/>
      <w:r>
        <w:rPr>
          <w:rFonts w:cs="Arial"/>
        </w:rPr>
        <w:t>Department</w:t>
      </w:r>
      <w:proofErr w:type="gramEnd"/>
      <w:r>
        <w:rPr>
          <w:rFonts w:cs="Arial"/>
        </w:rPr>
        <w:t xml:space="preserve"> of Social Services to leverage funding and connect families and youth to </w:t>
      </w:r>
      <w:proofErr w:type="gramStart"/>
      <w:r>
        <w:rPr>
          <w:rFonts w:cs="Arial"/>
        </w:rPr>
        <w:t>needed</w:t>
      </w:r>
      <w:proofErr w:type="gramEnd"/>
      <w:r>
        <w:rPr>
          <w:rFonts w:cs="Arial"/>
        </w:rPr>
        <w:t xml:space="preserve"> </w:t>
      </w:r>
      <w:proofErr w:type="gramStart"/>
      <w:r>
        <w:rPr>
          <w:rFonts w:cs="Arial"/>
        </w:rPr>
        <w:t>supports</w:t>
      </w:r>
      <w:proofErr w:type="gramEnd"/>
      <w:r>
        <w:rPr>
          <w:rFonts w:cs="Arial"/>
        </w:rPr>
        <w:t>.</w:t>
      </w:r>
    </w:p>
    <w:p w14:paraId="588EE1C3" w14:textId="77777777" w:rsidR="00171C5D" w:rsidRDefault="00000000">
      <w:pPr>
        <w:keepNext/>
        <w:widowControl w:val="0"/>
        <w:rPr>
          <w:b/>
          <w:sz w:val="24"/>
          <w:szCs w:val="24"/>
        </w:rPr>
      </w:pPr>
      <w:r>
        <w:rPr>
          <w:b/>
          <w:sz w:val="24"/>
          <w:szCs w:val="24"/>
        </w:rPr>
        <w:t xml:space="preserve">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w:t>
      </w:r>
      <w:r>
        <w:rPr>
          <w:b/>
          <w:sz w:val="24"/>
          <w:szCs w:val="24"/>
        </w:rPr>
        <w:lastRenderedPageBreak/>
        <w:t>employment, education, or youth needs.</w:t>
      </w:r>
    </w:p>
    <w:p w14:paraId="7C77E508" w14:textId="77777777" w:rsidR="00171C5D" w:rsidRDefault="00000000">
      <w:pPr>
        <w:keepNext/>
        <w:widowControl w:val="0"/>
        <w:spacing w:beforeAutospacing="1" w:afterAutospacing="1"/>
        <w:rPr>
          <w:rFonts w:cs="Arial"/>
          <w:szCs w:val="26"/>
        </w:rPr>
      </w:pPr>
      <w:r>
        <w:rPr>
          <w:rFonts w:cs="Arial"/>
        </w:rPr>
        <w:t xml:space="preserve">The </w:t>
      </w:r>
      <w:proofErr w:type="gramStart"/>
      <w:r>
        <w:rPr>
          <w:rFonts w:cs="Arial"/>
        </w:rPr>
        <w:t>CFY 2026</w:t>
      </w:r>
      <w:proofErr w:type="gramEnd"/>
      <w:r>
        <w:rPr>
          <w:rFonts w:cs="Arial"/>
        </w:rPr>
        <w:t xml:space="preserve"> one-year goals for helping low-income households avoid becoming homeless include:</w:t>
      </w:r>
    </w:p>
    <w:p w14:paraId="1E9A5307" w14:textId="77777777" w:rsidR="00171C5D" w:rsidRDefault="00000000">
      <w:pPr>
        <w:keepNext/>
        <w:widowControl w:val="0"/>
        <w:numPr>
          <w:ilvl w:val="0"/>
          <w:numId w:val="3"/>
        </w:numPr>
        <w:spacing w:beforeAutospacing="1" w:afterAutospacing="1"/>
        <w:rPr>
          <w:rFonts w:cs="Arial"/>
          <w:szCs w:val="26"/>
        </w:rPr>
      </w:pPr>
      <w:r>
        <w:rPr>
          <w:rFonts w:cs="Arial"/>
        </w:rPr>
        <w:t>Operate flexible funding sources and increased services at the front door of Coordinated Access to creatively divert households from entering the homeless system.</w:t>
      </w:r>
    </w:p>
    <w:p w14:paraId="216FF568" w14:textId="77777777" w:rsidR="00171C5D" w:rsidRDefault="00000000">
      <w:pPr>
        <w:keepNext/>
        <w:widowControl w:val="0"/>
        <w:numPr>
          <w:ilvl w:val="0"/>
          <w:numId w:val="3"/>
        </w:numPr>
        <w:spacing w:beforeAutospacing="1" w:afterAutospacing="1"/>
        <w:rPr>
          <w:rFonts w:cs="Arial"/>
          <w:szCs w:val="26"/>
        </w:rPr>
      </w:pPr>
      <w:r>
        <w:rPr>
          <w:rFonts w:cs="Arial"/>
        </w:rPr>
        <w:t>Provide comprehensive eviction prevention services to families at-risk of homelessness that include legal counseling, landlord-tenant mediation, and rental and utilities arrears.</w:t>
      </w:r>
    </w:p>
    <w:p w14:paraId="5F2663A8" w14:textId="77777777" w:rsidR="00171C5D" w:rsidRDefault="00000000">
      <w:pPr>
        <w:keepNext/>
        <w:widowControl w:val="0"/>
        <w:numPr>
          <w:ilvl w:val="0"/>
          <w:numId w:val="3"/>
        </w:numPr>
        <w:spacing w:beforeAutospacing="1" w:afterAutospacing="1"/>
        <w:rPr>
          <w:rFonts w:cs="Arial"/>
          <w:szCs w:val="26"/>
        </w:rPr>
      </w:pPr>
      <w:r>
        <w:rPr>
          <w:rFonts w:cs="Arial"/>
        </w:rPr>
        <w:t>Use Coordinated Access to help hospitals, corrections programs, mental health and substance abuse facilities, and mainstream social services programs make appropriate housing referrals for their participants experiencing homelessness.</w:t>
      </w:r>
    </w:p>
    <w:p w14:paraId="5ECA0BCE" w14:textId="77777777" w:rsidR="00171C5D" w:rsidRDefault="00000000">
      <w:pPr>
        <w:keepNext/>
        <w:widowControl w:val="0"/>
        <w:numPr>
          <w:ilvl w:val="0"/>
          <w:numId w:val="3"/>
        </w:numPr>
        <w:spacing w:beforeAutospacing="1" w:afterAutospacing="1"/>
        <w:rPr>
          <w:rFonts w:cs="Arial"/>
          <w:szCs w:val="26"/>
        </w:rPr>
      </w:pPr>
      <w:r>
        <w:rPr>
          <w:rFonts w:cs="Arial"/>
        </w:rPr>
        <w:t>Increase services for Youth and Family Diversion for households at-risk of becoming homeless.</w:t>
      </w:r>
    </w:p>
    <w:p w14:paraId="0833CDA2" w14:textId="77777777" w:rsidR="00171C5D" w:rsidRDefault="00000000">
      <w:pPr>
        <w:keepNext/>
        <w:widowControl w:val="0"/>
        <w:numPr>
          <w:ilvl w:val="0"/>
          <w:numId w:val="3"/>
        </w:numPr>
        <w:spacing w:beforeAutospacing="1" w:afterAutospacing="1"/>
        <w:rPr>
          <w:rFonts w:cs="Arial"/>
          <w:szCs w:val="26"/>
        </w:rPr>
      </w:pPr>
      <w:r>
        <w:rPr>
          <w:rFonts w:cs="Arial"/>
        </w:rPr>
        <w:t>Collaborate with the Housing Authority of Baltimore City to effectively use and target Re-Entry Vouchers.</w:t>
      </w:r>
    </w:p>
    <w:p w14:paraId="466473A0" w14:textId="77777777" w:rsidR="00171C5D" w:rsidRDefault="00000000">
      <w:pPr>
        <w:keepNext/>
        <w:widowControl w:val="0"/>
        <w:numPr>
          <w:ilvl w:val="0"/>
          <w:numId w:val="3"/>
        </w:numPr>
        <w:spacing w:beforeAutospacing="1" w:afterAutospacing="1"/>
        <w:rPr>
          <w:rFonts w:cs="Arial"/>
          <w:szCs w:val="26"/>
        </w:rPr>
      </w:pPr>
      <w:r>
        <w:rPr>
          <w:rFonts w:cs="Arial"/>
        </w:rPr>
        <w:t>Expand the Assistance in Community Integration Services Pilot (ACIS) through the Maryland Department of Public Health to divert people experiencing or at risk of homelessness from institutional placements through housing and tenancy case management.</w:t>
      </w:r>
    </w:p>
    <w:p w14:paraId="16B4AEAC" w14:textId="77777777" w:rsidR="00171C5D" w:rsidRDefault="00000000">
      <w:pPr>
        <w:keepNext/>
        <w:widowControl w:val="0"/>
        <w:spacing w:line="204" w:lineRule="auto"/>
        <w:rPr>
          <w:b/>
          <w:sz w:val="24"/>
          <w:szCs w:val="24"/>
        </w:rPr>
      </w:pPr>
      <w:r>
        <w:rPr>
          <w:b/>
          <w:sz w:val="24"/>
          <w:szCs w:val="24"/>
        </w:rPr>
        <w:t>Discussion</w:t>
      </w:r>
    </w:p>
    <w:p w14:paraId="2C9DC564" w14:textId="77777777" w:rsidR="00171C5D" w:rsidRDefault="00171C5D">
      <w:pPr>
        <w:keepNext/>
        <w:widowControl w:val="0"/>
        <w:spacing w:line="204" w:lineRule="auto"/>
        <w:rPr>
          <w:b/>
          <w:sz w:val="24"/>
          <w:szCs w:val="24"/>
        </w:rPr>
      </w:pPr>
    </w:p>
    <w:p w14:paraId="3BAA5D0D" w14:textId="77777777" w:rsidR="00171C5D" w:rsidRDefault="00000000">
      <w:pPr>
        <w:pStyle w:val="Heading2"/>
        <w:pageBreakBefore/>
        <w:widowControl w:val="0"/>
        <w:rPr>
          <w:rFonts w:ascii="Calibri" w:hAnsi="Calibri"/>
          <w:i w:val="0"/>
        </w:rPr>
      </w:pPr>
      <w:r>
        <w:rPr>
          <w:rFonts w:ascii="Calibri" w:hAnsi="Calibri"/>
          <w:i w:val="0"/>
        </w:rPr>
        <w:lastRenderedPageBreak/>
        <w:t>AP-70 HOPWA Goals</w:t>
      </w:r>
      <w:r>
        <w:rPr>
          <w:rFonts w:asciiTheme="minorHAnsi" w:hAnsiTheme="minorHAnsi"/>
        </w:rPr>
        <w:t xml:space="preserve">– </w:t>
      </w:r>
      <w:r>
        <w:rPr>
          <w:rFonts w:asciiTheme="minorHAnsi" w:hAnsiTheme="minorHAnsi"/>
          <w:i w:val="0"/>
        </w:rPr>
        <w:t>91.220 (l)(3)</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9"/>
        <w:gridCol w:w="551"/>
      </w:tblGrid>
      <w:tr w:rsidR="00171C5D" w14:paraId="25BD7566" w14:textId="77777777">
        <w:trPr>
          <w:cantSplit/>
          <w:tblHeader/>
        </w:trPr>
        <w:tc>
          <w:tcPr>
            <w:tcW w:w="9576" w:type="dxa"/>
            <w:gridSpan w:val="2"/>
          </w:tcPr>
          <w:p w14:paraId="11C09FC1" w14:textId="77777777" w:rsidR="00171C5D" w:rsidRDefault="00000000">
            <w:pPr>
              <w:keepNext/>
              <w:widowControl w:val="0"/>
              <w:spacing w:after="0" w:line="240" w:lineRule="auto"/>
              <w:rPr>
                <w:rFonts w:cs="Arial"/>
              </w:rPr>
            </w:pPr>
            <w:proofErr w:type="gramStart"/>
            <w:r>
              <w:rPr>
                <w:b/>
              </w:rPr>
              <w:t>One year</w:t>
            </w:r>
            <w:proofErr w:type="gramEnd"/>
            <w:r>
              <w:rPr>
                <w:b/>
              </w:rPr>
              <w:t xml:space="preserve"> goals for the number of households to be provided housing </w:t>
            </w:r>
            <w:proofErr w:type="gramStart"/>
            <w:r>
              <w:rPr>
                <w:b/>
              </w:rPr>
              <w:t>through the use of</w:t>
            </w:r>
            <w:proofErr w:type="gramEnd"/>
            <w:r>
              <w:rPr>
                <w:b/>
              </w:rPr>
              <w:t xml:space="preserve"> HOPWA for:</w:t>
            </w:r>
          </w:p>
        </w:tc>
      </w:tr>
      <w:tr w:rsidR="00171C5D" w14:paraId="6A0342FD" w14:textId="77777777">
        <w:trPr>
          <w:cantSplit/>
          <w:tblHeader/>
        </w:trPr>
        <w:tc>
          <w:tcPr>
            <w:tcW w:w="9576" w:type="dxa"/>
            <w:gridSpan w:val="2"/>
            <w:tcBorders>
              <w:top w:val="nil"/>
            </w:tcBorders>
          </w:tcPr>
          <w:p w14:paraId="704D8C10" w14:textId="77777777" w:rsidR="00171C5D" w:rsidRDefault="00171C5D">
            <w:pPr>
              <w:keepNext/>
              <w:widowControl w:val="0"/>
              <w:spacing w:after="0" w:line="240" w:lineRule="auto"/>
              <w:rPr>
                <w:rFonts w:cs="Arial"/>
              </w:rPr>
            </w:pPr>
          </w:p>
        </w:tc>
      </w:tr>
      <w:tr w:rsidR="00171C5D" w14:paraId="37FCB851" w14:textId="77777777">
        <w:trPr>
          <w:cantSplit/>
        </w:trPr>
        <w:tc>
          <w:tcPr>
            <w:tcW w:w="0" w:type="auto"/>
            <w:tcBorders>
              <w:top w:val="nil"/>
            </w:tcBorders>
            <w:vAlign w:val="bottom"/>
          </w:tcPr>
          <w:p w14:paraId="1A2DC372" w14:textId="77777777" w:rsidR="00171C5D" w:rsidRDefault="00000000">
            <w:pPr>
              <w:spacing w:beforeAutospacing="1" w:afterAutospacing="1"/>
            </w:pPr>
            <w:r>
              <w:rPr>
                <w:color w:val="000000"/>
              </w:rPr>
              <w:t>Short-term rent, mortgage, and utility assistance to prevent homelessness of the individual or family</w:t>
            </w:r>
          </w:p>
        </w:tc>
        <w:tc>
          <w:tcPr>
            <w:tcW w:w="0" w:type="auto"/>
            <w:tcBorders>
              <w:top w:val="nil"/>
            </w:tcBorders>
            <w:vAlign w:val="bottom"/>
          </w:tcPr>
          <w:p w14:paraId="68AFB697" w14:textId="77777777" w:rsidR="00171C5D" w:rsidRDefault="00000000">
            <w:pPr>
              <w:spacing w:beforeAutospacing="1" w:afterAutospacing="1"/>
              <w:jc w:val="right"/>
            </w:pPr>
            <w:r>
              <w:rPr>
                <w:color w:val="000000"/>
              </w:rPr>
              <w:t>20</w:t>
            </w:r>
          </w:p>
        </w:tc>
      </w:tr>
      <w:tr w:rsidR="00171C5D" w14:paraId="67E97CB8" w14:textId="77777777">
        <w:trPr>
          <w:cantSplit/>
        </w:trPr>
        <w:tc>
          <w:tcPr>
            <w:tcW w:w="0" w:type="auto"/>
            <w:tcBorders>
              <w:top w:val="nil"/>
            </w:tcBorders>
            <w:vAlign w:val="bottom"/>
          </w:tcPr>
          <w:p w14:paraId="7537BFC2" w14:textId="77777777" w:rsidR="00171C5D" w:rsidRDefault="00000000">
            <w:pPr>
              <w:spacing w:beforeAutospacing="1" w:afterAutospacing="1"/>
            </w:pPr>
            <w:r>
              <w:rPr>
                <w:color w:val="000000"/>
              </w:rPr>
              <w:t>Tenant-based rental assistance</w:t>
            </w:r>
          </w:p>
        </w:tc>
        <w:tc>
          <w:tcPr>
            <w:tcW w:w="0" w:type="auto"/>
            <w:tcBorders>
              <w:top w:val="nil"/>
            </w:tcBorders>
            <w:vAlign w:val="bottom"/>
          </w:tcPr>
          <w:p w14:paraId="76C4687D" w14:textId="77777777" w:rsidR="00171C5D" w:rsidRDefault="00000000">
            <w:pPr>
              <w:spacing w:beforeAutospacing="1" w:afterAutospacing="1"/>
              <w:jc w:val="right"/>
            </w:pPr>
            <w:r>
              <w:rPr>
                <w:color w:val="000000"/>
              </w:rPr>
              <w:t>587</w:t>
            </w:r>
          </w:p>
        </w:tc>
      </w:tr>
      <w:tr w:rsidR="00171C5D" w14:paraId="61D00CE7" w14:textId="77777777">
        <w:trPr>
          <w:cantSplit/>
        </w:trPr>
        <w:tc>
          <w:tcPr>
            <w:tcW w:w="0" w:type="auto"/>
            <w:tcBorders>
              <w:top w:val="nil"/>
            </w:tcBorders>
            <w:vAlign w:val="bottom"/>
          </w:tcPr>
          <w:p w14:paraId="03627BAF" w14:textId="77777777" w:rsidR="00171C5D" w:rsidRDefault="00000000">
            <w:pPr>
              <w:spacing w:beforeAutospacing="1" w:afterAutospacing="1"/>
            </w:pPr>
            <w:r>
              <w:rPr>
                <w:color w:val="000000"/>
              </w:rPr>
              <w:t>Units provided in permanent housing facilities developed, leased, or operated with HOPWA funds</w:t>
            </w:r>
          </w:p>
        </w:tc>
        <w:tc>
          <w:tcPr>
            <w:tcW w:w="0" w:type="auto"/>
            <w:tcBorders>
              <w:top w:val="nil"/>
            </w:tcBorders>
            <w:vAlign w:val="bottom"/>
          </w:tcPr>
          <w:p w14:paraId="742F9E12" w14:textId="77777777" w:rsidR="00171C5D" w:rsidRDefault="00000000">
            <w:pPr>
              <w:spacing w:beforeAutospacing="1" w:afterAutospacing="1"/>
              <w:jc w:val="right"/>
            </w:pPr>
            <w:r>
              <w:rPr>
                <w:color w:val="000000"/>
              </w:rPr>
              <w:t>10</w:t>
            </w:r>
          </w:p>
        </w:tc>
      </w:tr>
      <w:tr w:rsidR="00171C5D" w14:paraId="0459112B" w14:textId="77777777">
        <w:trPr>
          <w:cantSplit/>
        </w:trPr>
        <w:tc>
          <w:tcPr>
            <w:tcW w:w="0" w:type="auto"/>
            <w:tcBorders>
              <w:top w:val="nil"/>
            </w:tcBorders>
            <w:vAlign w:val="bottom"/>
          </w:tcPr>
          <w:p w14:paraId="058BD735" w14:textId="77777777" w:rsidR="00171C5D" w:rsidRDefault="00000000">
            <w:pPr>
              <w:spacing w:beforeAutospacing="1" w:afterAutospacing="1"/>
            </w:pPr>
            <w:r>
              <w:rPr>
                <w:color w:val="000000"/>
              </w:rPr>
              <w:t>Units provided in transitional short-term housing facilities developed, leased, or operated with HOPWA funds</w:t>
            </w:r>
          </w:p>
        </w:tc>
        <w:tc>
          <w:tcPr>
            <w:tcW w:w="0" w:type="auto"/>
            <w:tcBorders>
              <w:top w:val="nil"/>
            </w:tcBorders>
            <w:vAlign w:val="bottom"/>
          </w:tcPr>
          <w:p w14:paraId="60CBC533" w14:textId="77777777" w:rsidR="00171C5D" w:rsidRDefault="00000000">
            <w:pPr>
              <w:spacing w:beforeAutospacing="1" w:afterAutospacing="1"/>
              <w:jc w:val="right"/>
            </w:pPr>
            <w:r>
              <w:rPr>
                <w:color w:val="000000"/>
              </w:rPr>
              <w:t>0</w:t>
            </w:r>
          </w:p>
        </w:tc>
      </w:tr>
      <w:tr w:rsidR="00171C5D" w14:paraId="618D7D4D" w14:textId="77777777">
        <w:trPr>
          <w:cantSplit/>
        </w:trPr>
        <w:tc>
          <w:tcPr>
            <w:tcW w:w="0" w:type="auto"/>
            <w:tcBorders>
              <w:top w:val="nil"/>
            </w:tcBorders>
            <w:vAlign w:val="bottom"/>
          </w:tcPr>
          <w:p w14:paraId="67F457B7" w14:textId="77777777" w:rsidR="00171C5D" w:rsidRDefault="00000000">
            <w:pPr>
              <w:spacing w:beforeAutospacing="1" w:afterAutospacing="1"/>
            </w:pPr>
            <w:r>
              <w:rPr>
                <w:color w:val="000000"/>
              </w:rPr>
              <w:t>Total</w:t>
            </w:r>
          </w:p>
        </w:tc>
        <w:tc>
          <w:tcPr>
            <w:tcW w:w="0" w:type="auto"/>
            <w:tcBorders>
              <w:top w:val="nil"/>
            </w:tcBorders>
            <w:vAlign w:val="bottom"/>
          </w:tcPr>
          <w:p w14:paraId="23D5F10E" w14:textId="77777777" w:rsidR="00171C5D" w:rsidRDefault="00000000">
            <w:pPr>
              <w:spacing w:beforeAutospacing="1" w:afterAutospacing="1"/>
              <w:jc w:val="right"/>
            </w:pPr>
            <w:r>
              <w:rPr>
                <w:color w:val="000000"/>
              </w:rPr>
              <w:t>617</w:t>
            </w:r>
          </w:p>
        </w:tc>
      </w:tr>
    </w:tbl>
    <w:p w14:paraId="0C0CDD4D" w14:textId="77777777" w:rsidR="00171C5D" w:rsidRDefault="00171C5D">
      <w:pPr>
        <w:keepNext/>
        <w:widowControl w:val="0"/>
        <w:spacing w:after="0" w:line="240" w:lineRule="auto"/>
        <w:jc w:val="center"/>
        <w:rPr>
          <w:rFonts w:cs="Arial"/>
        </w:rPr>
      </w:pPr>
    </w:p>
    <w:p w14:paraId="64927CC8" w14:textId="77777777" w:rsidR="00171C5D" w:rsidRDefault="00000000">
      <w:pPr>
        <w:pStyle w:val="Heading2"/>
        <w:pageBreakBefore/>
        <w:widowControl w:val="0"/>
        <w:rPr>
          <w:rFonts w:ascii="Calibri" w:hAnsi="Calibri"/>
          <w:i w:val="0"/>
        </w:rPr>
      </w:pPr>
      <w:r>
        <w:rPr>
          <w:rFonts w:ascii="Calibri" w:hAnsi="Calibri"/>
          <w:i w:val="0"/>
        </w:rPr>
        <w:lastRenderedPageBreak/>
        <w:t>AP-75 Barriers to affordable housing – 91.220(j)</w:t>
      </w:r>
    </w:p>
    <w:p w14:paraId="62C9EC21" w14:textId="77777777" w:rsidR="00171C5D" w:rsidRDefault="00000000">
      <w:pPr>
        <w:keepNext/>
        <w:widowControl w:val="0"/>
        <w:spacing w:line="204" w:lineRule="auto"/>
        <w:rPr>
          <w:b/>
          <w:sz w:val="24"/>
          <w:szCs w:val="24"/>
        </w:rPr>
      </w:pPr>
      <w:r>
        <w:rPr>
          <w:b/>
          <w:sz w:val="24"/>
          <w:szCs w:val="24"/>
        </w:rPr>
        <w:t xml:space="preserve">Introduction: </w:t>
      </w:r>
    </w:p>
    <w:p w14:paraId="7774A845" w14:textId="77777777" w:rsidR="00171C5D" w:rsidRDefault="00171C5D">
      <w:pPr>
        <w:keepNext/>
        <w:widowControl w:val="0"/>
        <w:spacing w:line="204" w:lineRule="auto"/>
        <w:rPr>
          <w:b/>
          <w:sz w:val="24"/>
          <w:szCs w:val="24"/>
        </w:rPr>
      </w:pPr>
    </w:p>
    <w:p w14:paraId="516849B0" w14:textId="77777777" w:rsidR="00171C5D" w:rsidRDefault="00000000">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28DFD110" w14:textId="77777777" w:rsidR="00171C5D" w:rsidRDefault="00000000">
      <w:pPr>
        <w:keepNext/>
        <w:widowControl w:val="0"/>
        <w:spacing w:beforeAutospacing="1" w:afterAutospacing="1"/>
        <w:rPr>
          <w:rFonts w:cs="Arial"/>
        </w:rPr>
      </w:pPr>
      <w:r>
        <w:rPr>
          <w:rFonts w:cs="Arial"/>
        </w:rPr>
        <w:t xml:space="preserve">In September 2024, Baltimore introduced legislation targeting the city’s vacant housing problem. This legislation established an innovative mechanism, and possibility first of its kind, </w:t>
      </w:r>
      <w:proofErr w:type="spellStart"/>
      <w:r>
        <w:rPr>
          <w:rFonts w:cs="Arial"/>
        </w:rPr>
        <w:t>discontiguous</w:t>
      </w:r>
      <w:proofErr w:type="spellEnd"/>
      <w:r>
        <w:rPr>
          <w:rFonts w:cs="Arial"/>
        </w:rPr>
        <w:t xml:space="preserve"> tax increment financing (TIF), to create affordable housing.</w:t>
      </w:r>
    </w:p>
    <w:p w14:paraId="2D640A69" w14:textId="77777777" w:rsidR="00171C5D" w:rsidRDefault="00000000">
      <w:pPr>
        <w:keepNext/>
        <w:widowControl w:val="0"/>
        <w:spacing w:beforeAutospacing="1" w:afterAutospacing="1"/>
        <w:rPr>
          <w:rFonts w:cs="Arial"/>
        </w:rPr>
      </w:pPr>
      <w:r>
        <w:rPr>
          <w:rFonts w:cs="Arial"/>
        </w:rPr>
        <w:t>Per the Baltimore City DHCD website, “TIF Funds will only be spent on affordable housing – either public infrastructure to support new housing construction or construction costs to redevelop vacant buildings and reduce the appraisal gap. An important feature of the Affordable Housing TIF is its prioritization of legacy residents, providing homeownership opportunities to households earning 60% of the area median income and emerging and small developers.” (https://dhcd.baltimorecity.gov/affordable-housing-tif.)</w:t>
      </w:r>
    </w:p>
    <w:p w14:paraId="71F02F70" w14:textId="77777777" w:rsidR="00171C5D" w:rsidRDefault="00000000">
      <w:pPr>
        <w:keepNext/>
        <w:widowControl w:val="0"/>
        <w:spacing w:beforeAutospacing="1" w:afterAutospacing="1"/>
        <w:rPr>
          <w:rFonts w:cs="Arial"/>
        </w:rPr>
      </w:pPr>
      <w:r>
        <w:rPr>
          <w:rFonts w:cs="Arial"/>
        </w:rPr>
        <w:t>This legislation, in part, attempts to lessen the major barrier to affordable housing identified in the previous assessment – that many households in Baltimore have insufficient incomes to support the creation, rehabilitation, and operation of market-rate housing and thus require some form of subsidy. A previous chapter, MA-45, discusses at length the workforce and income challenges present-day Baltimore City residents face. The lack of economic opportunities and depressed incomes is a legacy of intertwined state, federal, and local policies that produced residential segregation and broader civic disinvestment.</w:t>
      </w:r>
    </w:p>
    <w:p w14:paraId="2658DEF7" w14:textId="77777777" w:rsidR="00171C5D" w:rsidRDefault="00000000">
      <w:pPr>
        <w:keepNext/>
        <w:widowControl w:val="0"/>
        <w:spacing w:beforeAutospacing="1" w:afterAutospacing="1"/>
        <w:rPr>
          <w:rFonts w:cs="Arial"/>
        </w:rPr>
      </w:pPr>
      <w:r>
        <w:rPr>
          <w:rFonts w:cs="Arial"/>
        </w:rPr>
        <w:t xml:space="preserve">It’s also important to note that housing costs, particularly for renters, have increased dramatically in recent years. While these increases impact those at the lowest income levels, housing costs have become </w:t>
      </w:r>
      <w:proofErr w:type="gramStart"/>
      <w:r>
        <w:rPr>
          <w:rFonts w:cs="Arial"/>
        </w:rPr>
        <w:t>more and more</w:t>
      </w:r>
      <w:proofErr w:type="gramEnd"/>
      <w:r>
        <w:rPr>
          <w:rFonts w:cs="Arial"/>
        </w:rPr>
        <w:t xml:space="preserve"> burdensome for renters at higher income levels. As an example, in January 2025, the US Department of Justice accused six rental companies, some in the Baltimore area, of “using an algorithm to set rental prices and minimize competition.” These practices increased rents for tenants and potential tenants. While not a policy, these practices create negative effects and increase unaffordability for renters in the region. (https://www.thebaltimorebanner.com/community/housing/maryland-landlords-lawsuit-algorithm-NZ37B7KDENGVFL3EBHI3SEPP74/.)</w:t>
      </w:r>
    </w:p>
    <w:p w14:paraId="3A6E6633" w14:textId="77777777" w:rsidR="00171C5D" w:rsidRDefault="00000000">
      <w:pPr>
        <w:keepNext/>
        <w:widowControl w:val="0"/>
        <w:spacing w:line="204" w:lineRule="auto"/>
        <w:rPr>
          <w:b/>
          <w:sz w:val="24"/>
          <w:szCs w:val="24"/>
        </w:rPr>
      </w:pPr>
      <w:r>
        <w:rPr>
          <w:b/>
          <w:sz w:val="24"/>
          <w:szCs w:val="24"/>
        </w:rPr>
        <w:t xml:space="preserve">Discussion: </w:t>
      </w:r>
    </w:p>
    <w:p w14:paraId="38537C68" w14:textId="77777777" w:rsidR="00171C5D" w:rsidRDefault="00171C5D">
      <w:pPr>
        <w:keepNext/>
        <w:widowControl w:val="0"/>
        <w:spacing w:line="204" w:lineRule="auto"/>
        <w:rPr>
          <w:b/>
          <w:sz w:val="24"/>
          <w:szCs w:val="24"/>
        </w:rPr>
      </w:pPr>
    </w:p>
    <w:p w14:paraId="75D87F5D" w14:textId="77777777" w:rsidR="00171C5D" w:rsidRDefault="00000000">
      <w:pPr>
        <w:pStyle w:val="Heading2"/>
        <w:pageBreakBefore/>
        <w:widowControl w:val="0"/>
        <w:rPr>
          <w:rFonts w:ascii="Calibri" w:hAnsi="Calibri"/>
          <w:i w:val="0"/>
        </w:rPr>
      </w:pPr>
      <w:r>
        <w:rPr>
          <w:rFonts w:ascii="Calibri" w:hAnsi="Calibri"/>
          <w:i w:val="0"/>
        </w:rPr>
        <w:lastRenderedPageBreak/>
        <w:t>AP-85 Other Actions – 91.220(k)</w:t>
      </w:r>
    </w:p>
    <w:p w14:paraId="0D9B0DF8" w14:textId="77777777" w:rsidR="00171C5D" w:rsidRDefault="00000000">
      <w:pPr>
        <w:keepNext/>
        <w:widowControl w:val="0"/>
        <w:spacing w:line="204" w:lineRule="auto"/>
        <w:rPr>
          <w:b/>
          <w:sz w:val="24"/>
          <w:szCs w:val="24"/>
        </w:rPr>
      </w:pPr>
      <w:r>
        <w:rPr>
          <w:b/>
          <w:sz w:val="24"/>
          <w:szCs w:val="24"/>
        </w:rPr>
        <w:t xml:space="preserve">Introduction: </w:t>
      </w:r>
    </w:p>
    <w:p w14:paraId="1073AE40" w14:textId="77777777" w:rsidR="00171C5D" w:rsidRDefault="00000000">
      <w:pPr>
        <w:keepNext/>
        <w:widowControl w:val="0"/>
        <w:spacing w:beforeAutospacing="1" w:afterAutospacing="1"/>
        <w:rPr>
          <w:b/>
          <w:sz w:val="24"/>
          <w:szCs w:val="24"/>
        </w:rPr>
      </w:pPr>
      <w:r>
        <w:rPr>
          <w:rFonts w:cs="Arial"/>
        </w:rPr>
        <w:t xml:space="preserve">The sections below provide generally </w:t>
      </w:r>
      <w:proofErr w:type="gramStart"/>
      <w:r>
        <w:rPr>
          <w:rFonts w:cs="Arial"/>
        </w:rPr>
        <w:t>brief summary</w:t>
      </w:r>
      <w:proofErr w:type="gramEnd"/>
      <w:r>
        <w:rPr>
          <w:rFonts w:cs="Arial"/>
        </w:rPr>
        <w:t xml:space="preserve"> narratives on actions to be taken to address Obstacles to Meeting Underserved Needs, Foster and Maintain Affordable Housing, Evaluate and Reduce the Number of Housing Units Containing Lead-Based Paint, Develop Institutional Structure, Enhance Coordination between Public and Private Agencies and reduce the Number of Poverty-Level Families.  Two new initiatives that over-reach the character limitation in lower paragraphs include: </w:t>
      </w:r>
    </w:p>
    <w:p w14:paraId="40F087D8" w14:textId="77777777" w:rsidR="00171C5D" w:rsidRDefault="00000000">
      <w:pPr>
        <w:keepNext/>
        <w:widowControl w:val="0"/>
        <w:spacing w:beforeAutospacing="1" w:afterAutospacing="1"/>
        <w:rPr>
          <w:b/>
          <w:sz w:val="24"/>
          <w:szCs w:val="24"/>
        </w:rPr>
      </w:pPr>
      <w:r>
        <w:rPr>
          <w:rFonts w:cs="Arial"/>
          <w:b/>
        </w:rPr>
        <w:t>Affordable Housing TIF</w:t>
      </w:r>
      <w:r>
        <w:rPr>
          <w:rFonts w:cs="Arial"/>
        </w:rPr>
        <w:t xml:space="preserve"> - In 2024, the City of Baltimore, in coordination with the state and various partners, enacted a noncontiguous tax increment financing (TIF) district that will target nearly 8,000 vacant properties in low-moderate income neighborhoods.</w:t>
      </w:r>
    </w:p>
    <w:p w14:paraId="669844F4" w14:textId="77777777" w:rsidR="00171C5D" w:rsidRDefault="00000000">
      <w:pPr>
        <w:keepNext/>
        <w:widowControl w:val="0"/>
        <w:spacing w:beforeAutospacing="1" w:afterAutospacing="1"/>
        <w:rPr>
          <w:b/>
          <w:sz w:val="24"/>
          <w:szCs w:val="24"/>
        </w:rPr>
      </w:pPr>
      <w:r>
        <w:rPr>
          <w:rFonts w:cs="Arial"/>
        </w:rPr>
        <w:t>The TIF allows the City to borrow money against future increases in property tax revenue generated by improvements in a designated area. The City of Baltimore, in partnership with BUILD and GBC, announced a $3 billion capital plan to eliminate vacant properties over 15 years.</w:t>
      </w:r>
    </w:p>
    <w:p w14:paraId="7A9A3C86" w14:textId="77777777" w:rsidR="00171C5D" w:rsidRDefault="00000000">
      <w:pPr>
        <w:keepNext/>
        <w:widowControl w:val="0"/>
        <w:spacing w:beforeAutospacing="1" w:afterAutospacing="1"/>
        <w:rPr>
          <w:b/>
          <w:sz w:val="24"/>
          <w:szCs w:val="24"/>
        </w:rPr>
      </w:pPr>
      <w:r>
        <w:rPr>
          <w:rFonts w:cs="Arial"/>
        </w:rPr>
        <w:t>This $3 billion capital strategy is expected to generate substantial returns and pay for itself over time through measurable economic benefits for the city, state, and region. These returns include the long-term, large-scale, and positive contributions to the tax base from the conversion of vacant properties into new and rehabilitated housing, as well as the accompanying population and business growth.</w:t>
      </w:r>
    </w:p>
    <w:p w14:paraId="0A10D280" w14:textId="77777777" w:rsidR="00171C5D" w:rsidRDefault="00000000">
      <w:pPr>
        <w:keepNext/>
        <w:widowControl w:val="0"/>
        <w:spacing w:beforeAutospacing="1" w:afterAutospacing="1"/>
        <w:rPr>
          <w:b/>
          <w:sz w:val="24"/>
          <w:szCs w:val="24"/>
        </w:rPr>
      </w:pPr>
      <w:r>
        <w:rPr>
          <w:rFonts w:cs="Arial"/>
          <w:b/>
        </w:rPr>
        <w:t>Vacant Reduction Strategy/Reinvest Baltimore</w:t>
      </w:r>
      <w:r>
        <w:rPr>
          <w:rFonts w:cs="Arial"/>
        </w:rPr>
        <w:t xml:space="preserve"> - Reinvest Baltimore is a coordinated effort between the State of Maryland, Baltimore City, and nonprofit and for-profit partners to eliminate concentrations of vacant properties, revitalize neighborhoods and maximize the economic potential and quality of life for residents in Baltimore City. The Baltimore Vacants Reinvestment Council (BVRC) will drive a unified approach to advancing community-based priorities and implementing recommended strategies to maximize investments, reduce vacancy and promote neighborhood renewal in Baltimore City. The Council is chaired by Maryland Department of Housing and Community Development Secretary Jake Day and vice-chaired by Baltimore City Department of Housing and Community Development Commissioner Alice Kennedy.</w:t>
      </w:r>
    </w:p>
    <w:p w14:paraId="426828AE" w14:textId="77777777" w:rsidR="00171C5D" w:rsidRDefault="00000000">
      <w:pPr>
        <w:keepNext/>
        <w:widowControl w:val="0"/>
        <w:spacing w:beforeAutospacing="1" w:afterAutospacing="1"/>
        <w:rPr>
          <w:b/>
          <w:sz w:val="24"/>
          <w:szCs w:val="24"/>
        </w:rPr>
      </w:pPr>
      <w:r>
        <w:rPr>
          <w:rFonts w:cs="Arial"/>
        </w:rPr>
        <w:t>The Baltimore Vacants Reinvestment Initiative (BVRI) program provides capital to Baltimore City’s community-based development organizations to successfully redevelop as many properties with Vacant Building Notices (VBNs) as they can. Based on community-driven vacancy reduction plans, organizations will be funded for a range of strategies, such as property acquisition, stabilization, renovation, and demolition. The Department’s investments are targeted to build from the strength of community assets to achieve whole block outcomes.</w:t>
      </w:r>
    </w:p>
    <w:p w14:paraId="30ED6D2F" w14:textId="77777777" w:rsidR="00171C5D" w:rsidRDefault="00171C5D">
      <w:pPr>
        <w:keepNext/>
        <w:widowControl w:val="0"/>
        <w:spacing w:beforeAutospacing="1" w:afterAutospacing="1"/>
        <w:rPr>
          <w:b/>
          <w:sz w:val="24"/>
          <w:szCs w:val="24"/>
        </w:rPr>
      </w:pPr>
    </w:p>
    <w:p w14:paraId="1F8272FA" w14:textId="77777777" w:rsidR="00171C5D" w:rsidRDefault="00000000">
      <w:pPr>
        <w:keepNext/>
        <w:widowControl w:val="0"/>
        <w:rPr>
          <w:b/>
          <w:sz w:val="24"/>
          <w:szCs w:val="24"/>
        </w:rPr>
      </w:pPr>
      <w:r>
        <w:rPr>
          <w:b/>
          <w:sz w:val="24"/>
          <w:szCs w:val="24"/>
        </w:rPr>
        <w:lastRenderedPageBreak/>
        <w:t>Actions planned to address obstacles to meeting underserved needs</w:t>
      </w:r>
    </w:p>
    <w:p w14:paraId="6A819E8F" w14:textId="77777777" w:rsidR="00171C5D" w:rsidRDefault="00000000">
      <w:pPr>
        <w:keepNext/>
        <w:widowControl w:val="0"/>
        <w:spacing w:beforeAutospacing="1" w:afterAutospacing="1"/>
        <w:rPr>
          <w:rFonts w:cs="Arial"/>
        </w:rPr>
      </w:pPr>
      <w:r>
        <w:rPr>
          <w:rFonts w:cs="Arial"/>
        </w:rPr>
        <w:t>CDBG and MOHS are focused on providing the most support for the greatest number of residents with the limited funds available to us. Two new initiatives are: </w:t>
      </w:r>
    </w:p>
    <w:p w14:paraId="09ACC791" w14:textId="77777777" w:rsidR="00171C5D" w:rsidRDefault="00000000">
      <w:pPr>
        <w:keepNext/>
        <w:widowControl w:val="0"/>
        <w:spacing w:beforeAutospacing="1" w:afterAutospacing="1"/>
        <w:rPr>
          <w:rFonts w:cs="Arial"/>
        </w:rPr>
      </w:pPr>
      <w:proofErr w:type="spellStart"/>
      <w:r>
        <w:rPr>
          <w:rFonts w:cs="Arial"/>
          <w:b/>
        </w:rPr>
        <w:t>Permanant</w:t>
      </w:r>
      <w:proofErr w:type="spellEnd"/>
      <w:r>
        <w:rPr>
          <w:rFonts w:cs="Arial"/>
          <w:b/>
        </w:rPr>
        <w:t xml:space="preserve"> Supportive Housing Development</w:t>
      </w:r>
      <w:r>
        <w:rPr>
          <w:rFonts w:cs="Arial"/>
        </w:rPr>
        <w:t xml:space="preserve"> - The Baltimore City Department of Housing and Community Development (DHCD), the Mayor’s Office of Homeless Services (MOHS), and the Mayor’s Office of Recovery Programs (MORP) are providing funding for the creation of permanent supportive housing. This is an investment of nearly $30 million in American Rescue Plan Act (ARPA) funds - $15.2 million from the City’s American Rescue Plan Act State and Local Recovery funds (SLFRF) and $14.7 million from the Home Investment Partnerships Program American Rescue Plan Act (HOME-ARP).</w:t>
      </w:r>
    </w:p>
    <w:p w14:paraId="4470C391" w14:textId="77777777" w:rsidR="00171C5D" w:rsidRDefault="00000000">
      <w:pPr>
        <w:keepNext/>
        <w:widowControl w:val="0"/>
        <w:spacing w:beforeAutospacing="1" w:afterAutospacing="1"/>
        <w:rPr>
          <w:rFonts w:cs="Arial"/>
        </w:rPr>
      </w:pPr>
      <w:r>
        <w:rPr>
          <w:rFonts w:cs="Arial"/>
        </w:rPr>
        <w:t>In May 2024 DHCD officially announced the awardees of the Housing Accelerator Fund (HAF) and HOME-APR awards. Combined the awardees have committed to bringing 180 PSH units, and an additional 153 affordable housing units to market by the end of 2026. These highly anticipated developments will be invested throughout Baltimore in areas such as Irvington, Central Park Heights, Downtown, and East North Avenue.</w:t>
      </w:r>
    </w:p>
    <w:p w14:paraId="350B6CDD" w14:textId="77777777" w:rsidR="00171C5D" w:rsidRDefault="00000000">
      <w:pPr>
        <w:keepNext/>
        <w:widowControl w:val="0"/>
        <w:spacing w:beforeAutospacing="1" w:afterAutospacing="1"/>
        <w:rPr>
          <w:rFonts w:cs="Arial"/>
        </w:rPr>
      </w:pPr>
      <w:r>
        <w:rPr>
          <w:rFonts w:cs="Arial"/>
          <w:b/>
        </w:rPr>
        <w:t>Tenant Opportunity to Purchase Act (TOPA)</w:t>
      </w:r>
      <w:r>
        <w:rPr>
          <w:rFonts w:cs="Arial"/>
        </w:rPr>
        <w:t xml:space="preserve"> - Effective April 13, 2024, Baltimore landlords are legally required to offer a contract for the sale of any rental dwelling unit before it is placed on the market. At that point, tenants have 14 days to express interest in buying the property by sending a letter of intent to the landlord.</w:t>
      </w:r>
    </w:p>
    <w:p w14:paraId="125C364D" w14:textId="77777777" w:rsidR="00171C5D" w:rsidRDefault="00000000">
      <w:pPr>
        <w:keepNext/>
        <w:widowControl w:val="0"/>
        <w:rPr>
          <w:b/>
          <w:sz w:val="24"/>
          <w:szCs w:val="24"/>
        </w:rPr>
      </w:pPr>
      <w:r>
        <w:rPr>
          <w:b/>
          <w:sz w:val="24"/>
          <w:szCs w:val="24"/>
        </w:rPr>
        <w:t>Actions planned to foster and maintain affordable housing</w:t>
      </w:r>
    </w:p>
    <w:p w14:paraId="769BDD8B" w14:textId="77777777" w:rsidR="00171C5D" w:rsidRDefault="00000000">
      <w:pPr>
        <w:keepNext/>
        <w:widowControl w:val="0"/>
        <w:spacing w:beforeAutospacing="1" w:afterAutospacing="1"/>
        <w:rPr>
          <w:rFonts w:cs="Arial"/>
        </w:rPr>
      </w:pPr>
      <w:r>
        <w:rPr>
          <w:rFonts w:cs="Arial"/>
        </w:rPr>
        <w:t>Using HOME, LIHTC, and other governmental and private funds, 321 units of new rental housing will be added to the affordable housing inventory. Through CDBG and private funding sources 5 units of rental housing will be rehabilitated.</w:t>
      </w:r>
    </w:p>
    <w:p w14:paraId="548F18D4" w14:textId="77777777" w:rsidR="00171C5D" w:rsidRDefault="00000000">
      <w:pPr>
        <w:keepNext/>
        <w:widowControl w:val="0"/>
        <w:spacing w:beforeAutospacing="1" w:afterAutospacing="1"/>
        <w:rPr>
          <w:rFonts w:cs="Arial"/>
        </w:rPr>
      </w:pPr>
      <w:r>
        <w:rPr>
          <w:rFonts w:cs="Arial"/>
        </w:rPr>
        <w:t>Affordable housing for homebuyers and homeowners will also be developed and preserved. Through CDBG, state, local and private funds 9 vacant units will be rehabilitated and sold, and 2 new units will be constructed and sold to low- and moderate-income households. We project DHCD and various non-profits will assist 457 households with emergency roof repairs, other large repair and system replacement projects, and general home repairs; of these, one hundred ninety-five (195) households with senior members will receive aging-in-place and other home modifications to prevent unnecessary and expensive moves to nursing homes and senior living facilities. 185 households with young children will receive lead remediation services.</w:t>
      </w:r>
    </w:p>
    <w:p w14:paraId="10B85642" w14:textId="77777777" w:rsidR="00171C5D" w:rsidRDefault="00000000">
      <w:pPr>
        <w:keepNext/>
        <w:widowControl w:val="0"/>
        <w:spacing w:beforeAutospacing="1" w:afterAutospacing="1"/>
        <w:rPr>
          <w:rFonts w:cs="Arial"/>
        </w:rPr>
      </w:pPr>
      <w:r>
        <w:rPr>
          <w:rFonts w:cs="Arial"/>
        </w:rPr>
        <w:t>Additionally, 3,590 LMI households will complete homeownership counseling, and 200 households will receive First-Time Homebuyer incentives funded with CDBG and other governmental and private funds. Nine (9) vacant and derelict units will be stabilized for later rehabilitation and sale to LMI homebuyers.  </w:t>
      </w:r>
    </w:p>
    <w:p w14:paraId="0AD1E245" w14:textId="77777777" w:rsidR="00171C5D" w:rsidRDefault="00000000">
      <w:pPr>
        <w:keepNext/>
        <w:widowControl w:val="0"/>
        <w:spacing w:beforeAutospacing="1" w:afterAutospacing="1"/>
        <w:rPr>
          <w:rFonts w:cs="Arial"/>
        </w:rPr>
      </w:pPr>
      <w:r>
        <w:rPr>
          <w:rFonts w:cs="Arial"/>
        </w:rPr>
        <w:lastRenderedPageBreak/>
        <w:t xml:space="preserve">Some 617 households will receive tenant based rental assistance and services with HOPWA funds. Two Hundred (200) households facing homelessness will be assisted through Rapid Rehousing and Eviction Prevention programs funded with ESG. 762 homeless </w:t>
      </w:r>
      <w:proofErr w:type="gramStart"/>
      <w:r>
        <w:rPr>
          <w:rFonts w:cs="Arial"/>
        </w:rPr>
        <w:t>persons</w:t>
      </w:r>
      <w:proofErr w:type="gramEnd"/>
      <w:r>
        <w:rPr>
          <w:rFonts w:cs="Arial"/>
        </w:rPr>
        <w:t xml:space="preserve"> will be sheltered, and 1975 homeless </w:t>
      </w:r>
      <w:proofErr w:type="gramStart"/>
      <w:r>
        <w:rPr>
          <w:rFonts w:cs="Arial"/>
        </w:rPr>
        <w:t>persons</w:t>
      </w:r>
      <w:proofErr w:type="gramEnd"/>
      <w:r>
        <w:rPr>
          <w:rFonts w:cs="Arial"/>
        </w:rPr>
        <w:t xml:space="preserve"> will receive services through homeless support agencies using ESG funds. Using CDBG Funds, 420 households will receive housing and utility subsistence to prevent evictions and facilitate rapid rehousing. Evictions will also be prevented in 1,200 households via legal counseling and representation services funded with CDBG. </w:t>
      </w:r>
    </w:p>
    <w:p w14:paraId="30E21EB3" w14:textId="77777777" w:rsidR="00171C5D" w:rsidRDefault="00171C5D">
      <w:pPr>
        <w:keepNext/>
        <w:widowControl w:val="0"/>
        <w:spacing w:beforeAutospacing="1" w:afterAutospacing="1"/>
        <w:rPr>
          <w:rFonts w:cs="Arial"/>
        </w:rPr>
      </w:pPr>
    </w:p>
    <w:p w14:paraId="6DC08441" w14:textId="77777777" w:rsidR="00171C5D" w:rsidRDefault="00171C5D">
      <w:pPr>
        <w:keepNext/>
        <w:widowControl w:val="0"/>
        <w:spacing w:beforeAutospacing="1" w:afterAutospacing="1"/>
        <w:rPr>
          <w:rFonts w:cs="Arial"/>
        </w:rPr>
      </w:pPr>
    </w:p>
    <w:p w14:paraId="0D9E998B" w14:textId="77777777" w:rsidR="00171C5D" w:rsidRDefault="00000000">
      <w:pPr>
        <w:keepNext/>
        <w:widowControl w:val="0"/>
        <w:rPr>
          <w:b/>
          <w:sz w:val="24"/>
          <w:szCs w:val="24"/>
        </w:rPr>
      </w:pPr>
      <w:r>
        <w:rPr>
          <w:b/>
          <w:sz w:val="24"/>
          <w:szCs w:val="24"/>
        </w:rPr>
        <w:t>Actions planned to reduce lead-based paint hazards</w:t>
      </w:r>
    </w:p>
    <w:p w14:paraId="18751A94" w14:textId="77777777" w:rsidR="00171C5D" w:rsidRDefault="00000000">
      <w:pPr>
        <w:keepNext/>
        <w:widowControl w:val="0"/>
        <w:spacing w:beforeAutospacing="1" w:afterAutospacing="1"/>
        <w:rPr>
          <w:rFonts w:cs="Arial"/>
        </w:rPr>
      </w:pPr>
      <w:r>
        <w:rPr>
          <w:rFonts w:cs="Arial"/>
        </w:rPr>
        <w:t>In PY 2025 DHCD’s Lead Hazard Reduction Program will remove lead paint and other household hazards and/or provide educational and relocation services to 100 low-income households with young children and/or pregnant women. Green and Healthy Homes is projected to abate lead in 75 homes and provide Healthy Homes training and services to 1,000 homeowners and landlords. </w:t>
      </w:r>
    </w:p>
    <w:p w14:paraId="5F895244" w14:textId="77777777" w:rsidR="00171C5D" w:rsidRDefault="00000000">
      <w:pPr>
        <w:keepNext/>
        <w:widowControl w:val="0"/>
        <w:rPr>
          <w:b/>
          <w:sz w:val="24"/>
          <w:szCs w:val="24"/>
        </w:rPr>
      </w:pPr>
      <w:r>
        <w:rPr>
          <w:b/>
          <w:sz w:val="24"/>
          <w:szCs w:val="24"/>
        </w:rPr>
        <w:t>Actions planned to reduce the number of poverty-level families</w:t>
      </w:r>
    </w:p>
    <w:p w14:paraId="3225E4E1" w14:textId="77777777" w:rsidR="00171C5D" w:rsidRDefault="00000000">
      <w:pPr>
        <w:keepNext/>
        <w:widowControl w:val="0"/>
        <w:spacing w:beforeAutospacing="1" w:afterAutospacing="1"/>
        <w:rPr>
          <w:rFonts w:cs="Arial"/>
          <w:szCs w:val="26"/>
        </w:rPr>
      </w:pPr>
      <w:r>
        <w:rPr>
          <w:rFonts w:cs="Arial"/>
        </w:rPr>
        <w:t xml:space="preserve">CDBG funds will be used to support employment training programs serving 3473 persons at 20 non-profit agencies during the program year. Based on prior </w:t>
      </w:r>
      <w:proofErr w:type="gramStart"/>
      <w:r>
        <w:rPr>
          <w:rFonts w:cs="Arial"/>
        </w:rPr>
        <w:t>year</w:t>
      </w:r>
      <w:proofErr w:type="gramEnd"/>
      <w:r>
        <w:rPr>
          <w:rFonts w:cs="Arial"/>
        </w:rPr>
        <w:t xml:space="preserve"> program data it is anticipated that over 70% of these participants will be from poverty-level households.</w:t>
      </w:r>
    </w:p>
    <w:p w14:paraId="72CA4DF9" w14:textId="77777777" w:rsidR="00171C5D" w:rsidRDefault="00000000">
      <w:pPr>
        <w:keepNext/>
        <w:widowControl w:val="0"/>
        <w:spacing w:beforeAutospacing="1" w:afterAutospacing="1"/>
        <w:rPr>
          <w:rFonts w:cs="Arial"/>
          <w:szCs w:val="26"/>
        </w:rPr>
      </w:pPr>
      <w:r>
        <w:rPr>
          <w:rFonts w:cs="Arial"/>
        </w:rPr>
        <w:t>MOHS and the Mayor's Office of Children and Family Success (MOCFS) will continue several activities in CFY2026 aimed at increasing income and reducing the number of families experiencing poverty in Baltimore City, including:</w:t>
      </w:r>
      <w:r>
        <w:rPr>
          <w:rFonts w:cs="Arial"/>
        </w:rPr>
        <w:br/>
        <w:t>• Using an employment navigation model for households participating in rapid re-housing programs that will provide intensive job preparation services, paid apprenticeship/training programs, and employer connections for living-wage jobs;.</w:t>
      </w:r>
      <w:r>
        <w:rPr>
          <w:rFonts w:cs="Arial"/>
        </w:rPr>
        <w:br/>
        <w:t>• Connecting individuals with disability assistance (TDAP, SSI) to supported employment opportunities with DORS that will assist them in increasing employment income without losing assistance;</w:t>
      </w:r>
      <w:r>
        <w:rPr>
          <w:rFonts w:cs="Arial"/>
        </w:rPr>
        <w:br/>
        <w:t>• Removing barriers to employment for families by connecting them to transportation, legal services for expungement, disability benefit cases, and child support cases causing wage garnishment; and</w:t>
      </w:r>
      <w:r>
        <w:rPr>
          <w:rFonts w:cs="Arial"/>
        </w:rPr>
        <w:br/>
        <w:t>• Connecting households at risk of homelessness or experiencing homelessness directly to employment and mainstream benefit resources through the Coordinated Access system.</w:t>
      </w:r>
    </w:p>
    <w:p w14:paraId="561E392D" w14:textId="77777777" w:rsidR="00171C5D" w:rsidRDefault="00000000">
      <w:pPr>
        <w:keepNext/>
        <w:widowControl w:val="0"/>
        <w:rPr>
          <w:b/>
          <w:sz w:val="24"/>
          <w:szCs w:val="24"/>
        </w:rPr>
      </w:pPr>
      <w:r>
        <w:rPr>
          <w:b/>
          <w:sz w:val="24"/>
          <w:szCs w:val="24"/>
        </w:rPr>
        <w:t xml:space="preserve">Actions planned to develop institutional structure </w:t>
      </w:r>
    </w:p>
    <w:p w14:paraId="60844697" w14:textId="77777777" w:rsidR="00171C5D" w:rsidRDefault="00000000">
      <w:pPr>
        <w:keepNext/>
        <w:widowControl w:val="0"/>
        <w:spacing w:beforeAutospacing="1" w:afterAutospacing="1"/>
        <w:rPr>
          <w:rFonts w:cs="Arial"/>
        </w:rPr>
      </w:pPr>
      <w:r>
        <w:rPr>
          <w:rFonts w:cs="Arial"/>
        </w:rPr>
        <w:t>DHCD will be adding new staff and replacing retiring staff to support the CDBG program in PY 2026.  </w:t>
      </w:r>
    </w:p>
    <w:p w14:paraId="4D95077D" w14:textId="77777777" w:rsidR="00171C5D" w:rsidRDefault="00000000">
      <w:pPr>
        <w:keepNext/>
        <w:widowControl w:val="0"/>
        <w:spacing w:beforeAutospacing="1" w:afterAutospacing="1"/>
        <w:rPr>
          <w:rFonts w:cs="Arial"/>
        </w:rPr>
      </w:pPr>
      <w:r>
        <w:rPr>
          <w:rFonts w:cs="Arial"/>
        </w:rPr>
        <w:lastRenderedPageBreak/>
        <w:t xml:space="preserve">In CFY 2026 </w:t>
      </w:r>
      <w:proofErr w:type="gramStart"/>
      <w:r>
        <w:rPr>
          <w:rFonts w:cs="Arial"/>
        </w:rPr>
        <w:t>DHCD</w:t>
      </w:r>
      <w:proofErr w:type="gramEnd"/>
      <w:r>
        <w:rPr>
          <w:rFonts w:cs="Arial"/>
        </w:rPr>
        <w:t xml:space="preserve"> will continue to improve the monitoring and contract processes so that contracts are completed and approved at a faster pace and the funding is available earlier during a CDBG subrecipients’ time of performance (TOP). (All operating contracts will be written for a TOP of July 1, 2025, through June 30, 2026.) These improvements will be achieved through better use of the application and reporting software (Neighborly), streamlining the work of staff in the Contract Office, working more closely with partners to make sure progress reports and reimbursement requests are submitted on time, and working to prevent bottlenecks and leaks in the workflow of grant and contract management. </w:t>
      </w:r>
    </w:p>
    <w:p w14:paraId="694D312E" w14:textId="77777777" w:rsidR="00171C5D" w:rsidRDefault="00000000">
      <w:pPr>
        <w:keepNext/>
        <w:widowControl w:val="0"/>
        <w:rPr>
          <w:b/>
          <w:sz w:val="24"/>
          <w:szCs w:val="24"/>
        </w:rPr>
      </w:pPr>
      <w:r>
        <w:rPr>
          <w:b/>
          <w:sz w:val="24"/>
          <w:szCs w:val="24"/>
        </w:rPr>
        <w:t>Actions planned to enhance coordination between public and private housing and social service agencies</w:t>
      </w:r>
    </w:p>
    <w:p w14:paraId="5164ABB2" w14:textId="77777777" w:rsidR="00171C5D" w:rsidRDefault="00000000">
      <w:pPr>
        <w:keepNext/>
        <w:widowControl w:val="0"/>
        <w:spacing w:beforeAutospacing="1" w:afterAutospacing="1"/>
        <w:rPr>
          <w:rFonts w:cs="Arial"/>
          <w:szCs w:val="26"/>
        </w:rPr>
      </w:pPr>
      <w:r>
        <w:rPr>
          <w:rFonts w:cs="Arial"/>
        </w:rPr>
        <w:t>During PY 2025 the Baltimore DHCD will roll out a homebuyer incentive program specifically for current public housing residents. Funds are being set aside for this cohort, and additional resources are being developed to support public housing households who are ready to become homeowners. </w:t>
      </w:r>
    </w:p>
    <w:p w14:paraId="1E1B9A6B" w14:textId="77777777" w:rsidR="00171C5D" w:rsidRDefault="00000000">
      <w:pPr>
        <w:keepNext/>
        <w:widowControl w:val="0"/>
        <w:spacing w:line="204" w:lineRule="auto"/>
        <w:rPr>
          <w:b/>
          <w:sz w:val="24"/>
          <w:szCs w:val="24"/>
        </w:rPr>
      </w:pPr>
      <w:r>
        <w:rPr>
          <w:b/>
          <w:sz w:val="24"/>
          <w:szCs w:val="24"/>
        </w:rPr>
        <w:t xml:space="preserve">Discussion: </w:t>
      </w:r>
    </w:p>
    <w:p w14:paraId="23FFAAAD" w14:textId="77777777" w:rsidR="00171C5D" w:rsidRDefault="00000000">
      <w:pPr>
        <w:keepNext/>
        <w:widowControl w:val="0"/>
        <w:spacing w:beforeAutospacing="1" w:afterAutospacing="1"/>
        <w:rPr>
          <w:b/>
          <w:sz w:val="24"/>
          <w:szCs w:val="24"/>
        </w:rPr>
      </w:pPr>
      <w:r>
        <w:rPr>
          <w:rFonts w:cs="Arial"/>
        </w:rPr>
        <w:t>Baltimore and the Department of Housing and Community Development continue to offer innovative opportunities for residents, non-profits and for-profits to engage in improving housing, neighborhood conditions, employment, and quality of life for Baltimore's low- and moderate-income residents. A few of these opportunities include:</w:t>
      </w:r>
    </w:p>
    <w:p w14:paraId="22438458" w14:textId="77777777" w:rsidR="00171C5D" w:rsidRDefault="00000000">
      <w:pPr>
        <w:keepNext/>
        <w:widowControl w:val="0"/>
        <w:spacing w:beforeAutospacing="1" w:afterAutospacing="1"/>
        <w:rPr>
          <w:b/>
          <w:sz w:val="24"/>
          <w:szCs w:val="24"/>
        </w:rPr>
      </w:pPr>
      <w:r>
        <w:rPr>
          <w:rFonts w:cs="Arial"/>
          <w:b/>
        </w:rPr>
        <w:t>Crime Prevention Through Environmental Design (CPTED)</w:t>
      </w:r>
      <w:r>
        <w:rPr>
          <w:rFonts w:cs="Arial"/>
        </w:rPr>
        <w:t xml:space="preserve"> - Developers Incentive Program - provides funding for the Vacant Rehabilitation &amp; Developers Incentives category of the CPTED Developers Incentive Program in the Brooklyn and Curtis Bay neighborhoods in Baltimore City.</w:t>
      </w:r>
    </w:p>
    <w:p w14:paraId="1338E11D" w14:textId="77777777" w:rsidR="00171C5D" w:rsidRDefault="00000000">
      <w:pPr>
        <w:keepNext/>
        <w:widowControl w:val="0"/>
        <w:spacing w:beforeAutospacing="1" w:afterAutospacing="1"/>
        <w:rPr>
          <w:b/>
          <w:sz w:val="24"/>
          <w:szCs w:val="24"/>
        </w:rPr>
      </w:pPr>
      <w:r>
        <w:rPr>
          <w:rFonts w:cs="Arial"/>
          <w:b/>
        </w:rPr>
        <w:t>The Developer Incentive Program</w:t>
      </w:r>
      <w:r>
        <w:rPr>
          <w:rFonts w:cs="Arial"/>
        </w:rPr>
        <w:t xml:space="preserve"> - provides funding to organizations, non-profits, and single-family primary homeowners who are in the process completing extensive renovation of formerly </w:t>
      </w:r>
      <w:proofErr w:type="gramStart"/>
      <w:r>
        <w:rPr>
          <w:rFonts w:cs="Arial"/>
        </w:rPr>
        <w:t>vacant homes for</w:t>
      </w:r>
      <w:proofErr w:type="gramEnd"/>
      <w:r>
        <w:rPr>
          <w:rFonts w:cs="Arial"/>
        </w:rPr>
        <w:t xml:space="preserve"> homeowners at or below 120% of AMI.</w:t>
      </w:r>
    </w:p>
    <w:p w14:paraId="0820D168" w14:textId="77777777" w:rsidR="00171C5D" w:rsidRDefault="00171C5D">
      <w:pPr>
        <w:keepNext/>
        <w:widowControl w:val="0"/>
        <w:spacing w:beforeAutospacing="1" w:afterAutospacing="1"/>
        <w:rPr>
          <w:b/>
          <w:sz w:val="24"/>
          <w:szCs w:val="24"/>
        </w:rPr>
      </w:pPr>
    </w:p>
    <w:p w14:paraId="6E0E3B46" w14:textId="77777777" w:rsidR="00171C5D"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3304EAFC" w14:textId="77777777" w:rsidR="00171C5D" w:rsidRDefault="00000000">
      <w:pPr>
        <w:rPr>
          <w:b/>
          <w:sz w:val="28"/>
          <w:szCs w:val="28"/>
        </w:rPr>
      </w:pPr>
      <w:r>
        <w:rPr>
          <w:b/>
          <w:sz w:val="28"/>
          <w:szCs w:val="28"/>
        </w:rPr>
        <w:t>AP-90 Program Specific Requirements – 91.220(l</w:t>
      </w:r>
      <w:proofErr w:type="gramStart"/>
      <w:r>
        <w:rPr>
          <w:b/>
          <w:sz w:val="28"/>
          <w:szCs w:val="28"/>
        </w:rPr>
        <w:t>)(</w:t>
      </w:r>
      <w:proofErr w:type="gramEnd"/>
      <w:r>
        <w:rPr>
          <w:b/>
          <w:sz w:val="28"/>
          <w:szCs w:val="28"/>
        </w:rPr>
        <w:t>1,2,4)</w:t>
      </w:r>
    </w:p>
    <w:p w14:paraId="5EB79771" w14:textId="77777777" w:rsidR="00171C5D" w:rsidRDefault="00000000">
      <w:pPr>
        <w:keepNext/>
        <w:widowControl w:val="0"/>
        <w:spacing w:line="204" w:lineRule="auto"/>
        <w:rPr>
          <w:b/>
          <w:sz w:val="24"/>
          <w:szCs w:val="24"/>
        </w:rPr>
      </w:pPr>
      <w:r>
        <w:rPr>
          <w:b/>
          <w:sz w:val="24"/>
          <w:szCs w:val="24"/>
        </w:rPr>
        <w:t xml:space="preserve">Introduction: </w:t>
      </w:r>
    </w:p>
    <w:p w14:paraId="4439B858" w14:textId="77777777" w:rsidR="00171C5D" w:rsidRDefault="00000000">
      <w:pPr>
        <w:keepNext/>
        <w:widowControl w:val="0"/>
        <w:spacing w:beforeAutospacing="1" w:afterAutospacing="1"/>
        <w:rPr>
          <w:b/>
          <w:sz w:val="24"/>
          <w:szCs w:val="24"/>
        </w:rPr>
      </w:pPr>
      <w:r>
        <w:rPr>
          <w:rFonts w:cs="Arial"/>
        </w:rPr>
        <w:t xml:space="preserve">In developing objectives and outcomes, the City’s intent is to assist those people with the most serious social and housing problems while at the same time strengthening living environments through, for example, aiding moderate-income </w:t>
      </w:r>
      <w:proofErr w:type="gramStart"/>
      <w:r>
        <w:rPr>
          <w:rFonts w:cs="Arial"/>
        </w:rPr>
        <w:t>persons</w:t>
      </w:r>
      <w:proofErr w:type="gramEnd"/>
      <w:r>
        <w:rPr>
          <w:rFonts w:cs="Arial"/>
        </w:rPr>
        <w:t xml:space="preserve"> who are buying a home. The City will spend the preponderance of Plan funds for the benefit of the poorest of our citizens.</w:t>
      </w:r>
    </w:p>
    <w:p w14:paraId="7561F031" w14:textId="77777777" w:rsidR="00171C5D" w:rsidRDefault="00000000">
      <w:pPr>
        <w:keepNext/>
        <w:widowControl w:val="0"/>
        <w:spacing w:beforeAutospacing="1" w:afterAutospacing="1"/>
        <w:rPr>
          <w:b/>
          <w:sz w:val="24"/>
          <w:szCs w:val="24"/>
        </w:rPr>
      </w:pPr>
      <w:r>
        <w:rPr>
          <w:rFonts w:cs="Arial"/>
        </w:rPr>
        <w:t>The 2025 – 2030 Consolidated Plan identifies specific neighborhood geographies to receive focused CDBG and HOME investment and support as Consolidated Plan strategies and annual implementing activities are 1) aligned with DHCD’s 2019 Community Development Framework (See: https://dhcd.baltimorecity.gov/m/community-development-framework) which has seven Impact Investment Areas marked for concerted redevelopment efforts and 2) focused on blocks in the Vacants Reduction Strategy Geographies. The rest of the funds are intended to be distributed to the remaining low-moderate income areas, or if appropriate, on a city-wide basis.</w:t>
      </w:r>
    </w:p>
    <w:p w14:paraId="49487B0A" w14:textId="77777777" w:rsidR="00171C5D" w:rsidRDefault="00000000">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7CA5168E" w14:textId="77777777" w:rsidR="00171C5D" w:rsidRDefault="00000000">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645F4350" w14:textId="77777777" w:rsidR="00171C5D" w:rsidRDefault="00000000">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35A64C79" w14:textId="77777777" w:rsidR="00171C5D" w:rsidRDefault="00171C5D">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171C5D" w14:paraId="27C3E5A3" w14:textId="77777777">
        <w:tc>
          <w:tcPr>
            <w:tcW w:w="9576" w:type="dxa"/>
            <w:gridSpan w:val="2"/>
          </w:tcPr>
          <w:p w14:paraId="47D093D3" w14:textId="77777777" w:rsidR="00171C5D" w:rsidRDefault="00171C5D">
            <w:pPr>
              <w:keepNext/>
              <w:widowControl w:val="0"/>
              <w:spacing w:after="0" w:line="240" w:lineRule="auto"/>
              <w:rPr>
                <w:rFonts w:cs="Arial"/>
              </w:rPr>
            </w:pPr>
          </w:p>
        </w:tc>
      </w:tr>
      <w:tr w:rsidR="00171C5D" w14:paraId="4EE6B9B0" w14:textId="77777777">
        <w:trPr>
          <w:cantSplit/>
        </w:trPr>
        <w:tc>
          <w:tcPr>
            <w:tcW w:w="0" w:type="auto"/>
            <w:vAlign w:val="center"/>
          </w:tcPr>
          <w:p w14:paraId="214D6BD8" w14:textId="77777777" w:rsidR="00171C5D" w:rsidRDefault="00000000">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322EF7D7" w14:textId="77777777" w:rsidR="00171C5D" w:rsidRDefault="00000000">
            <w:pPr>
              <w:spacing w:beforeAutospacing="1" w:afterAutospacing="1"/>
              <w:jc w:val="right"/>
            </w:pPr>
            <w:r>
              <w:rPr>
                <w:color w:val="000000"/>
              </w:rPr>
              <w:t>0</w:t>
            </w:r>
          </w:p>
        </w:tc>
      </w:tr>
      <w:tr w:rsidR="00171C5D" w14:paraId="24A5C838" w14:textId="77777777">
        <w:trPr>
          <w:cantSplit/>
        </w:trPr>
        <w:tc>
          <w:tcPr>
            <w:tcW w:w="0" w:type="auto"/>
            <w:vAlign w:val="center"/>
          </w:tcPr>
          <w:p w14:paraId="046E72D4" w14:textId="77777777" w:rsidR="00171C5D" w:rsidRDefault="00000000">
            <w:pPr>
              <w:spacing w:beforeAutospacing="1" w:afterAutospacing="1"/>
            </w:pPr>
            <w:r>
              <w:rPr>
                <w:color w:val="000000"/>
              </w:rPr>
              <w:t xml:space="preserve">2. The amount of proceeds from section </w:t>
            </w:r>
            <w:proofErr w:type="gramStart"/>
            <w:r>
              <w:rPr>
                <w:color w:val="000000"/>
              </w:rPr>
              <w:t>108 loan</w:t>
            </w:r>
            <w:proofErr w:type="gramEnd"/>
            <w:r>
              <w:rPr>
                <w:color w:val="000000"/>
              </w:rPr>
              <w:t xml:space="preserve"> guarantees </w:t>
            </w:r>
            <w:proofErr w:type="gramStart"/>
            <w:r>
              <w:rPr>
                <w:color w:val="000000"/>
              </w:rPr>
              <w:t>that</w:t>
            </w:r>
            <w:proofErr w:type="gramEnd"/>
            <w:r>
              <w:rPr>
                <w:color w:val="000000"/>
              </w:rPr>
              <w:t xml:space="preserve"> will be used during the year to address the priority needs and specific objectives identified in the grantee's strategic plan.</w:t>
            </w:r>
          </w:p>
        </w:tc>
        <w:tc>
          <w:tcPr>
            <w:tcW w:w="0" w:type="auto"/>
            <w:vAlign w:val="bottom"/>
          </w:tcPr>
          <w:p w14:paraId="1C37D2FC" w14:textId="77777777" w:rsidR="00171C5D" w:rsidRDefault="00000000">
            <w:pPr>
              <w:spacing w:beforeAutospacing="1" w:afterAutospacing="1"/>
              <w:jc w:val="right"/>
            </w:pPr>
            <w:r>
              <w:rPr>
                <w:color w:val="000000"/>
              </w:rPr>
              <w:t>0</w:t>
            </w:r>
          </w:p>
        </w:tc>
      </w:tr>
      <w:tr w:rsidR="00171C5D" w14:paraId="28C6C42F" w14:textId="77777777">
        <w:trPr>
          <w:cantSplit/>
        </w:trPr>
        <w:tc>
          <w:tcPr>
            <w:tcW w:w="0" w:type="auto"/>
            <w:vAlign w:val="center"/>
          </w:tcPr>
          <w:p w14:paraId="06FEC871" w14:textId="77777777" w:rsidR="00171C5D" w:rsidRDefault="00000000">
            <w:pPr>
              <w:spacing w:beforeAutospacing="1" w:afterAutospacing="1"/>
            </w:pPr>
            <w:r>
              <w:rPr>
                <w:color w:val="000000"/>
              </w:rPr>
              <w:t>3. The amount of surplus funds from urban renewal settlements</w:t>
            </w:r>
          </w:p>
        </w:tc>
        <w:tc>
          <w:tcPr>
            <w:tcW w:w="0" w:type="auto"/>
            <w:vAlign w:val="bottom"/>
          </w:tcPr>
          <w:p w14:paraId="775C3E16" w14:textId="77777777" w:rsidR="00171C5D" w:rsidRDefault="00000000">
            <w:pPr>
              <w:spacing w:beforeAutospacing="1" w:afterAutospacing="1"/>
              <w:jc w:val="right"/>
            </w:pPr>
            <w:r>
              <w:rPr>
                <w:color w:val="000000"/>
              </w:rPr>
              <w:t>0</w:t>
            </w:r>
          </w:p>
        </w:tc>
      </w:tr>
      <w:tr w:rsidR="00171C5D" w14:paraId="24BDD0D0" w14:textId="77777777">
        <w:trPr>
          <w:cantSplit/>
        </w:trPr>
        <w:tc>
          <w:tcPr>
            <w:tcW w:w="0" w:type="auto"/>
            <w:vAlign w:val="center"/>
          </w:tcPr>
          <w:p w14:paraId="6C611204" w14:textId="77777777" w:rsidR="00171C5D" w:rsidRDefault="00000000">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62FD2693" w14:textId="77777777" w:rsidR="00171C5D" w:rsidRDefault="00000000">
            <w:pPr>
              <w:spacing w:beforeAutospacing="1" w:afterAutospacing="1"/>
              <w:jc w:val="right"/>
            </w:pPr>
            <w:r>
              <w:rPr>
                <w:color w:val="000000"/>
              </w:rPr>
              <w:t>0</w:t>
            </w:r>
          </w:p>
        </w:tc>
      </w:tr>
      <w:tr w:rsidR="00171C5D" w14:paraId="5C7072A6" w14:textId="77777777">
        <w:trPr>
          <w:cantSplit/>
        </w:trPr>
        <w:tc>
          <w:tcPr>
            <w:tcW w:w="0" w:type="auto"/>
            <w:vAlign w:val="center"/>
          </w:tcPr>
          <w:p w14:paraId="21007542" w14:textId="77777777" w:rsidR="00171C5D" w:rsidRDefault="00000000">
            <w:pPr>
              <w:spacing w:beforeAutospacing="1" w:afterAutospacing="1"/>
            </w:pPr>
            <w:r>
              <w:rPr>
                <w:color w:val="000000"/>
              </w:rPr>
              <w:t>5. The amount of income from float-funded activities</w:t>
            </w:r>
          </w:p>
        </w:tc>
        <w:tc>
          <w:tcPr>
            <w:tcW w:w="0" w:type="auto"/>
            <w:vAlign w:val="bottom"/>
          </w:tcPr>
          <w:p w14:paraId="299F3993" w14:textId="77777777" w:rsidR="00171C5D" w:rsidRDefault="00000000">
            <w:pPr>
              <w:spacing w:beforeAutospacing="1" w:afterAutospacing="1"/>
              <w:jc w:val="right"/>
            </w:pPr>
            <w:r>
              <w:rPr>
                <w:color w:val="000000"/>
              </w:rPr>
              <w:t>0</w:t>
            </w:r>
          </w:p>
        </w:tc>
      </w:tr>
      <w:tr w:rsidR="00171C5D" w14:paraId="3841CA7F" w14:textId="77777777">
        <w:trPr>
          <w:cantSplit/>
        </w:trPr>
        <w:tc>
          <w:tcPr>
            <w:tcW w:w="0" w:type="auto"/>
            <w:vAlign w:val="center"/>
          </w:tcPr>
          <w:p w14:paraId="60EB37A0" w14:textId="77777777" w:rsidR="00171C5D" w:rsidRDefault="00000000">
            <w:pPr>
              <w:spacing w:beforeAutospacing="1" w:afterAutospacing="1"/>
            </w:pPr>
            <w:r>
              <w:rPr>
                <w:b/>
                <w:color w:val="000000"/>
              </w:rPr>
              <w:t>Total Program Income:</w:t>
            </w:r>
          </w:p>
        </w:tc>
        <w:tc>
          <w:tcPr>
            <w:tcW w:w="0" w:type="auto"/>
            <w:vAlign w:val="center"/>
          </w:tcPr>
          <w:p w14:paraId="3AC1CF7D" w14:textId="77777777" w:rsidR="00171C5D" w:rsidRDefault="00000000">
            <w:pPr>
              <w:spacing w:beforeAutospacing="1" w:afterAutospacing="1"/>
              <w:jc w:val="right"/>
            </w:pPr>
            <w:r>
              <w:rPr>
                <w:b/>
                <w:color w:val="000000"/>
              </w:rPr>
              <w:t>0</w:t>
            </w:r>
          </w:p>
        </w:tc>
      </w:tr>
    </w:tbl>
    <w:p w14:paraId="4F024D0B" w14:textId="77777777" w:rsidR="00171C5D" w:rsidRDefault="00171C5D">
      <w:pPr>
        <w:keepNext/>
        <w:widowControl w:val="0"/>
        <w:spacing w:after="0" w:line="240" w:lineRule="auto"/>
        <w:rPr>
          <w:rFonts w:cs="Arial"/>
        </w:rPr>
      </w:pPr>
    </w:p>
    <w:p w14:paraId="26526FD8" w14:textId="77777777" w:rsidR="00171C5D" w:rsidRDefault="00000000">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171C5D" w14:paraId="7473C804" w14:textId="77777777">
        <w:tc>
          <w:tcPr>
            <w:tcW w:w="9576" w:type="dxa"/>
            <w:gridSpan w:val="2"/>
          </w:tcPr>
          <w:p w14:paraId="43998AEF" w14:textId="77777777" w:rsidR="00171C5D" w:rsidRDefault="00171C5D">
            <w:pPr>
              <w:keepNext/>
              <w:widowControl w:val="0"/>
              <w:spacing w:after="0" w:line="240" w:lineRule="auto"/>
              <w:rPr>
                <w:rFonts w:cs="Arial"/>
              </w:rPr>
            </w:pPr>
          </w:p>
        </w:tc>
      </w:tr>
      <w:tr w:rsidR="00171C5D" w14:paraId="6FF79E59" w14:textId="77777777">
        <w:trPr>
          <w:cantSplit/>
        </w:trPr>
        <w:tc>
          <w:tcPr>
            <w:tcW w:w="0" w:type="auto"/>
          </w:tcPr>
          <w:p w14:paraId="18CD2F73" w14:textId="77777777" w:rsidR="00171C5D" w:rsidRDefault="00000000">
            <w:pPr>
              <w:spacing w:beforeAutospacing="1" w:afterAutospacing="1"/>
            </w:pPr>
            <w:r>
              <w:rPr>
                <w:color w:val="000000"/>
              </w:rPr>
              <w:t xml:space="preserve">1. The amount of </w:t>
            </w:r>
            <w:proofErr w:type="gramStart"/>
            <w:r>
              <w:rPr>
                <w:color w:val="000000"/>
              </w:rPr>
              <w:t>urgent</w:t>
            </w:r>
            <w:proofErr w:type="gramEnd"/>
            <w:r>
              <w:rPr>
                <w:color w:val="000000"/>
              </w:rPr>
              <w:t xml:space="preserve"> need activities</w:t>
            </w:r>
          </w:p>
        </w:tc>
        <w:tc>
          <w:tcPr>
            <w:tcW w:w="0" w:type="auto"/>
            <w:vAlign w:val="bottom"/>
          </w:tcPr>
          <w:p w14:paraId="12A21B22" w14:textId="77777777" w:rsidR="00171C5D" w:rsidRDefault="00000000">
            <w:pPr>
              <w:spacing w:beforeAutospacing="1" w:afterAutospacing="1"/>
              <w:jc w:val="right"/>
            </w:pPr>
            <w:r>
              <w:rPr>
                <w:color w:val="000000"/>
              </w:rPr>
              <w:t>0</w:t>
            </w:r>
          </w:p>
        </w:tc>
      </w:tr>
    </w:tbl>
    <w:p w14:paraId="0982A29D" w14:textId="77777777" w:rsidR="00171C5D" w:rsidRDefault="00171C5D">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171C5D" w14:paraId="7312F602" w14:textId="77777777">
        <w:tc>
          <w:tcPr>
            <w:tcW w:w="7923" w:type="dxa"/>
          </w:tcPr>
          <w:p w14:paraId="73A51243" w14:textId="77777777" w:rsidR="00171C5D" w:rsidRDefault="00171C5D">
            <w:pPr>
              <w:keepNext/>
              <w:widowControl w:val="0"/>
              <w:spacing w:after="0" w:line="240" w:lineRule="auto"/>
              <w:rPr>
                <w:rFonts w:cs="Arial"/>
              </w:rPr>
            </w:pPr>
          </w:p>
        </w:tc>
        <w:tc>
          <w:tcPr>
            <w:tcW w:w="1665" w:type="dxa"/>
          </w:tcPr>
          <w:p w14:paraId="1EBA7B25" w14:textId="77777777" w:rsidR="00171C5D" w:rsidRDefault="00171C5D">
            <w:pPr>
              <w:keepNext/>
              <w:widowControl w:val="0"/>
              <w:spacing w:after="0" w:line="240" w:lineRule="auto"/>
              <w:rPr>
                <w:rFonts w:cs="Arial"/>
              </w:rPr>
            </w:pPr>
          </w:p>
        </w:tc>
      </w:tr>
      <w:tr w:rsidR="00171C5D" w14:paraId="60540ED4" w14:textId="77777777">
        <w:trPr>
          <w:cantSplit/>
        </w:trPr>
        <w:tc>
          <w:tcPr>
            <w:tcW w:w="7923" w:type="dxa"/>
          </w:tcPr>
          <w:p w14:paraId="39749414" w14:textId="77777777" w:rsidR="00171C5D" w:rsidRDefault="00000000">
            <w:pPr>
              <w:spacing w:beforeAutospacing="1" w:afterAutospacing="1"/>
            </w:pPr>
            <w:r>
              <w:rPr>
                <w:color w:val="000000"/>
              </w:rPr>
              <w:t xml:space="preserve">2. The estimated percentage of CDBG funds that will be used for activities that benefit </w:t>
            </w:r>
            <w:proofErr w:type="gramStart"/>
            <w:r>
              <w:rPr>
                <w:color w:val="000000"/>
              </w:rPr>
              <w:t>persons</w:t>
            </w:r>
            <w:proofErr w:type="gramEnd"/>
            <w:r>
              <w:rPr>
                <w:color w:val="000000"/>
              </w:rPr>
              <w:t xml:space="preserve"> </w:t>
            </w:r>
            <w:proofErr w:type="gramStart"/>
            <w:r>
              <w:rPr>
                <w:color w:val="000000"/>
              </w:rPr>
              <w:t>of</w:t>
            </w:r>
            <w:proofErr w:type="gramEnd"/>
            <w:r>
              <w:rPr>
                <w:color w:val="000000"/>
              </w:rPr>
              <w:t xml:space="preserve"> low and moderate </w:t>
            </w:r>
            <w:proofErr w:type="spellStart"/>
            <w:proofErr w:type="gramStart"/>
            <w:r>
              <w:rPr>
                <w:color w:val="000000"/>
              </w:rPr>
              <w:t>income.Overall</w:t>
            </w:r>
            <w:proofErr w:type="spellEnd"/>
            <w:proofErr w:type="gramEnd"/>
            <w:r>
              <w:rPr>
                <w:color w:val="000000"/>
              </w:rPr>
              <w:t xml:space="preserve"> Benefit - A consecutive period of one, two or three years may be used to determine that a minimum overall benefit of 70% of CDBG funds is used to benefit </w:t>
            </w:r>
            <w:proofErr w:type="gramStart"/>
            <w:r>
              <w:rPr>
                <w:color w:val="000000"/>
              </w:rPr>
              <w:t>persons</w:t>
            </w:r>
            <w:proofErr w:type="gramEnd"/>
            <w:r>
              <w:rPr>
                <w:color w:val="000000"/>
              </w:rPr>
              <w:t xml:space="preserve"> </w:t>
            </w:r>
            <w:proofErr w:type="gramStart"/>
            <w:r>
              <w:rPr>
                <w:color w:val="000000"/>
              </w:rPr>
              <w:t>of</w:t>
            </w:r>
            <w:proofErr w:type="gramEnd"/>
            <w:r>
              <w:rPr>
                <w:color w:val="000000"/>
              </w:rPr>
              <w:t xml:space="preserve"> low and moderate income. Specify the years covered that include this Annual Action Plan.</w:t>
            </w:r>
          </w:p>
        </w:tc>
        <w:tc>
          <w:tcPr>
            <w:tcW w:w="1665" w:type="dxa"/>
            <w:vAlign w:val="bottom"/>
          </w:tcPr>
          <w:p w14:paraId="486185BA" w14:textId="77777777" w:rsidR="00171C5D" w:rsidRDefault="00000000">
            <w:pPr>
              <w:spacing w:beforeAutospacing="1" w:afterAutospacing="1"/>
              <w:jc w:val="right"/>
            </w:pPr>
            <w:r>
              <w:rPr>
                <w:color w:val="000000"/>
              </w:rPr>
              <w:t>97.16%</w:t>
            </w:r>
          </w:p>
        </w:tc>
      </w:tr>
    </w:tbl>
    <w:p w14:paraId="13C9C830" w14:textId="77777777" w:rsidR="00171C5D" w:rsidRDefault="00171C5D">
      <w:pPr>
        <w:spacing w:after="0" w:line="240" w:lineRule="auto"/>
        <w:rPr>
          <w:rFonts w:cs="Arial"/>
        </w:rPr>
      </w:pPr>
    </w:p>
    <w:p w14:paraId="3F11A5DD" w14:textId="77777777" w:rsidR="00171C5D" w:rsidRDefault="00171C5D">
      <w:pPr>
        <w:spacing w:after="0" w:line="240" w:lineRule="auto"/>
        <w:rPr>
          <w:rFonts w:cs="Arial"/>
        </w:rPr>
      </w:pPr>
    </w:p>
    <w:p w14:paraId="2314F39E" w14:textId="77777777" w:rsidR="00171C5D" w:rsidRDefault="00171C5D">
      <w:pPr>
        <w:spacing w:after="0" w:line="240" w:lineRule="auto"/>
        <w:rPr>
          <w:rFonts w:cs="Arial"/>
        </w:rPr>
      </w:pPr>
    </w:p>
    <w:p w14:paraId="75D2B030" w14:textId="77777777" w:rsidR="00171C5D" w:rsidRDefault="00000000">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14:paraId="2EBE1FB1" w14:textId="77777777" w:rsidR="00171C5D" w:rsidRDefault="00000000">
      <w:pPr>
        <w:keepNext/>
        <w:spacing w:after="0" w:line="240" w:lineRule="auto"/>
        <w:jc w:val="center"/>
        <w:rPr>
          <w:rFonts w:cs="Arial"/>
          <w:b/>
          <w:sz w:val="24"/>
          <w:szCs w:val="24"/>
        </w:rPr>
      </w:pPr>
      <w:r>
        <w:rPr>
          <w:rFonts w:cs="Arial"/>
          <w:b/>
          <w:sz w:val="24"/>
          <w:szCs w:val="24"/>
        </w:rPr>
        <w:t>Reference 24 CFR 91.220(l)(2)</w:t>
      </w:r>
      <w:r>
        <w:rPr>
          <w:i/>
        </w:rPr>
        <w:t xml:space="preserve"> </w:t>
      </w:r>
    </w:p>
    <w:p w14:paraId="4ED2A5B0" w14:textId="77777777" w:rsidR="00171C5D" w:rsidRDefault="00000000">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14:paraId="022B295B" w14:textId="77777777" w:rsidR="00171C5D" w:rsidRDefault="00000000">
      <w:pPr>
        <w:keepNext/>
        <w:widowControl w:val="0"/>
        <w:spacing w:beforeAutospacing="1" w:afterAutospacing="1"/>
        <w:ind w:left="360"/>
        <w:rPr>
          <w:rFonts w:cs="Arial"/>
        </w:rPr>
      </w:pPr>
      <w:r>
        <w:rPr>
          <w:rFonts w:cs="Arial"/>
        </w:rPr>
        <w:t>HOME funds will only be used in ways described at 24 CFR 92.205.</w:t>
      </w:r>
    </w:p>
    <w:p w14:paraId="4CDE486C" w14:textId="77777777" w:rsidR="00171C5D" w:rsidRDefault="00171C5D">
      <w:pPr>
        <w:spacing w:after="0" w:line="240" w:lineRule="auto"/>
        <w:rPr>
          <w:rFonts w:cs="Arial"/>
        </w:rPr>
      </w:pPr>
    </w:p>
    <w:p w14:paraId="068D3234" w14:textId="77777777" w:rsidR="00171C5D" w:rsidRDefault="00000000">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14:paraId="71CBACA2" w14:textId="77777777" w:rsidR="00171C5D" w:rsidRDefault="00000000">
      <w:pPr>
        <w:keepNext/>
        <w:widowControl w:val="0"/>
        <w:spacing w:beforeAutospacing="1" w:afterAutospacing="1"/>
        <w:ind w:left="360"/>
        <w:rPr>
          <w:rFonts w:cs="Arial"/>
        </w:rPr>
      </w:pPr>
      <w:r>
        <w:rPr>
          <w:rFonts w:cs="Arial"/>
          <w:b/>
        </w:rPr>
        <w:t>Recapture Schedule for the Homebuyer who resells the Property during the Period of Affordability</w:t>
      </w:r>
    </w:p>
    <w:p w14:paraId="2DAAC873" w14:textId="77777777" w:rsidR="00171C5D" w:rsidRDefault="00000000">
      <w:pPr>
        <w:keepNext/>
        <w:widowControl w:val="0"/>
        <w:spacing w:beforeAutospacing="1" w:afterAutospacing="1"/>
        <w:ind w:left="360"/>
        <w:rPr>
          <w:rFonts w:cs="Arial"/>
        </w:rPr>
      </w:pPr>
      <w:r>
        <w:rPr>
          <w:rFonts w:cs="Arial"/>
        </w:rPr>
        <w:br/>
        <w:t>If the homebuyer sells the HOME-assisted unit during the Period of Affordability, the outstanding loan balance will be repaid on a prorated basis, depending upon the number of years the homebuyer has occupied the HOME-assisted home versus the applicable Period of Affordability.</w:t>
      </w:r>
    </w:p>
    <w:p w14:paraId="0BD8B886" w14:textId="77777777" w:rsidR="00171C5D" w:rsidRDefault="00171C5D">
      <w:pPr>
        <w:spacing w:after="0" w:line="240" w:lineRule="auto"/>
        <w:rPr>
          <w:rFonts w:cs="Arial"/>
        </w:rPr>
      </w:pPr>
    </w:p>
    <w:p w14:paraId="142BB0DE" w14:textId="77777777" w:rsidR="00171C5D" w:rsidRDefault="00000000">
      <w:pPr>
        <w:keepNext/>
        <w:widowControl w:val="0"/>
        <w:numPr>
          <w:ilvl w:val="0"/>
          <w:numId w:val="13"/>
        </w:numPr>
        <w:spacing w:after="0" w:line="240" w:lineRule="auto"/>
        <w:rPr>
          <w:rFonts w:cs="Arial"/>
        </w:rPr>
      </w:pPr>
      <w:r>
        <w:rPr>
          <w:rFonts w:cs="Arial"/>
        </w:rPr>
        <w:lastRenderedPageBreak/>
        <w:t xml:space="preserve">A description of the guidelines for resale or recapture that ensures the affordability of units acquired with HOME </w:t>
      </w:r>
      <w:proofErr w:type="gramStart"/>
      <w:r>
        <w:rPr>
          <w:rFonts w:cs="Arial"/>
        </w:rPr>
        <w:t>funds?</w:t>
      </w:r>
      <w:proofErr w:type="gramEnd"/>
      <w:r>
        <w:rPr>
          <w:rFonts w:cs="Arial"/>
        </w:rPr>
        <w:t xml:space="preserve"> See 24 CFR 92.254(a)(4) are as follows:</w:t>
      </w:r>
      <w:r>
        <w:rPr>
          <w:i/>
        </w:rPr>
        <w:t xml:space="preserve"> </w:t>
      </w:r>
    </w:p>
    <w:p w14:paraId="6B2CF35C" w14:textId="77777777" w:rsidR="00171C5D" w:rsidRDefault="00000000">
      <w:pPr>
        <w:keepNext/>
        <w:widowControl w:val="0"/>
        <w:spacing w:beforeAutospacing="1" w:afterAutospacing="1"/>
        <w:ind w:left="360"/>
        <w:rPr>
          <w:rFonts w:cs="Arial"/>
        </w:rPr>
      </w:pPr>
      <w:r>
        <w:rPr>
          <w:rFonts w:cs="Arial"/>
        </w:rPr>
        <w:t xml:space="preserve">A Deed of Trust will be used to convey the </w:t>
      </w:r>
      <w:proofErr w:type="gramStart"/>
      <w:r>
        <w:rPr>
          <w:rFonts w:cs="Arial"/>
        </w:rPr>
        <w:t>for</w:t>
      </w:r>
      <w:proofErr w:type="gramEnd"/>
      <w:r>
        <w:rPr>
          <w:rFonts w:cs="Arial"/>
        </w:rPr>
        <w:t xml:space="preserve">-sale unit from the seller to the buyer. The Deed of Trust will </w:t>
      </w:r>
      <w:proofErr w:type="gramStart"/>
      <w:r>
        <w:rPr>
          <w:rFonts w:cs="Arial"/>
        </w:rPr>
        <w:t>reference</w:t>
      </w:r>
      <w:proofErr w:type="gramEnd"/>
      <w:r>
        <w:rPr>
          <w:rFonts w:cs="Arial"/>
        </w:rPr>
        <w:t xml:space="preserve"> the regulating covenants and must stipulate that the buyer will own and occupy the subject property as his or her principal residence for the term of the affordability period. The Deed of Trust clearly states that if the Owner leases, refinances or transfers the property prior to the expiration of the period of affordability, then the Owner agrees to repay all or a portion of the loan to DHCD in accordance with the Buyer’s HOME Regulatory Agreement. The Buyer’s HOME Regulatory Agreement is the only document that will be recorded. The purpose </w:t>
      </w:r>
      <w:proofErr w:type="gramStart"/>
      <w:r>
        <w:rPr>
          <w:rFonts w:cs="Arial"/>
        </w:rPr>
        <w:t>for</w:t>
      </w:r>
      <w:proofErr w:type="gramEnd"/>
      <w:r>
        <w:rPr>
          <w:rFonts w:cs="Arial"/>
        </w:rPr>
        <w:t xml:space="preserve"> these written agreements is to enforce and ensure that the City recaptures the direct subsidy to the HOME-assisted homebuyer if the HOME-assisted property is transferred. The written agreements are enforcing </w:t>
      </w:r>
      <w:proofErr w:type="gramStart"/>
      <w:r>
        <w:rPr>
          <w:rFonts w:cs="Arial"/>
        </w:rPr>
        <w:t>mechanism</w:t>
      </w:r>
      <w:proofErr w:type="gramEnd"/>
      <w:r>
        <w:rPr>
          <w:rFonts w:cs="Arial"/>
        </w:rPr>
        <w:t xml:space="preserve"> for the City to enforce the affordability period and as notification of the transfer of the property.</w:t>
      </w:r>
    </w:p>
    <w:p w14:paraId="368111E6" w14:textId="77777777" w:rsidR="00171C5D" w:rsidRDefault="00000000">
      <w:pPr>
        <w:keepNext/>
        <w:widowControl w:val="0"/>
        <w:spacing w:beforeAutospacing="1" w:afterAutospacing="1"/>
        <w:ind w:left="360"/>
        <w:rPr>
          <w:rFonts w:cs="Arial"/>
        </w:rPr>
      </w:pPr>
      <w:r>
        <w:rPr>
          <w:rFonts w:cs="Arial"/>
        </w:rPr>
        <w:t>The Buyer’s Promissory Note for Development subsidies will not be recorded. They are forgiven if the owner continues to occupy and own the subject property as his or her principal residence for the entire period of affordability. Repayment through the recapture method of the loan will be required, if during the period of affordability, the buyer sells, transfers, refinances, leases or ceases to utilize the property as their principal residence.</w:t>
      </w:r>
    </w:p>
    <w:p w14:paraId="1098799A" w14:textId="77777777" w:rsidR="00171C5D" w:rsidRDefault="00000000">
      <w:pPr>
        <w:keepNext/>
        <w:widowControl w:val="0"/>
        <w:spacing w:beforeAutospacing="1" w:afterAutospacing="1"/>
        <w:ind w:left="360"/>
        <w:rPr>
          <w:rFonts w:cs="Arial"/>
        </w:rPr>
      </w:pPr>
      <w:r>
        <w:rPr>
          <w:rFonts w:cs="Arial"/>
        </w:rPr>
        <w:t>The amount subject to recapture is the direct subsidy received by the homebuyer. In addition, these provisions limit the amount to be recaptured to the net proceeds available from the sale of the property.</w:t>
      </w:r>
    </w:p>
    <w:p w14:paraId="447DC2A4" w14:textId="77777777" w:rsidR="00171C5D" w:rsidRDefault="00171C5D">
      <w:pPr>
        <w:spacing w:after="0" w:line="240" w:lineRule="auto"/>
        <w:rPr>
          <w:rFonts w:cs="Arial"/>
        </w:rPr>
      </w:pPr>
    </w:p>
    <w:p w14:paraId="27A0E22D" w14:textId="77777777" w:rsidR="00171C5D" w:rsidRDefault="00000000">
      <w:pPr>
        <w:keepNext/>
        <w:widowControl w:val="0"/>
        <w:numPr>
          <w:ilvl w:val="0"/>
          <w:numId w:val="13"/>
        </w:numPr>
        <w:spacing w:after="0" w:line="240" w:lineRule="auto"/>
        <w:rPr>
          <w:rFonts w:cs="Arial"/>
        </w:rPr>
      </w:pPr>
      <w:r>
        <w:rPr>
          <w:rFonts w:cs="Arial"/>
        </w:rPr>
        <w:lastRenderedPageBreak/>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14:paraId="62118E98" w14:textId="77777777" w:rsidR="00171C5D" w:rsidRDefault="00000000">
      <w:pPr>
        <w:keepNext/>
        <w:widowControl w:val="0"/>
        <w:spacing w:beforeAutospacing="1" w:afterAutospacing="1"/>
        <w:ind w:left="360"/>
        <w:rPr>
          <w:rFonts w:cs="Arial"/>
        </w:rPr>
      </w:pPr>
      <w:r>
        <w:rPr>
          <w:rFonts w:cs="Arial"/>
        </w:rPr>
        <w:t>Baltimore City will not use HOME funds to refinance existing debt secured by multi-family housing that is being redeveloped with HOME funds.</w:t>
      </w:r>
    </w:p>
    <w:p w14:paraId="56984A8A" w14:textId="77777777" w:rsidR="00171C5D" w:rsidRDefault="00000000">
      <w:pPr>
        <w:keepNext/>
        <w:widowControl w:val="0"/>
        <w:spacing w:beforeAutospacing="1" w:afterAutospacing="1"/>
        <w:ind w:left="360"/>
        <w:rPr>
          <w:rFonts w:cs="Arial"/>
        </w:rPr>
      </w:pPr>
      <w:r>
        <w:rPr>
          <w:rFonts w:cs="Arial"/>
        </w:rPr>
        <w:t>At least bi-annually Baltimore City DHCD publishes on its website a notice of funding availability (NOFA) for the HOME Program that describes eligible applicants and the process for soliciting and funding HOME applications. HOME Program contact information is also included in the mailing, Baltimore Sun notice and website posting through which the Annual Action Plan process is initiated each autumn.</w:t>
      </w:r>
    </w:p>
    <w:p w14:paraId="2B706A7F" w14:textId="77777777" w:rsidR="00171C5D" w:rsidRDefault="00000000">
      <w:pPr>
        <w:keepNext/>
        <w:widowControl w:val="0"/>
        <w:spacing w:beforeAutospacing="1" w:afterAutospacing="1"/>
        <w:ind w:left="360"/>
        <w:rPr>
          <w:rFonts w:cs="Arial"/>
        </w:rPr>
      </w:pPr>
      <w:r>
        <w:rPr>
          <w:rFonts w:cs="Arial"/>
        </w:rPr>
        <w:t xml:space="preserve">DHCD does not plan to limit or promote specific beneficiaries in the PY 2024 Annual Action Plan. It </w:t>
      </w:r>
      <w:proofErr w:type="gramStart"/>
      <w:r>
        <w:rPr>
          <w:rFonts w:cs="Arial"/>
        </w:rPr>
        <w:t>does however</w:t>
      </w:r>
      <w:proofErr w:type="gramEnd"/>
      <w:r>
        <w:rPr>
          <w:rFonts w:cs="Arial"/>
        </w:rPr>
        <w:t xml:space="preserve"> not intend to support two categories of HOME eligible activities. In PY 2025 the HOME Program will not fund any homeownership activities and limit itself to assisting eligible rental projects. It will also not carry out tenant based rental assistance activities during the program year.</w:t>
      </w:r>
    </w:p>
    <w:p w14:paraId="12B2663A" w14:textId="77777777" w:rsidR="00171C5D" w:rsidRDefault="00171C5D">
      <w:pPr>
        <w:spacing w:after="0" w:line="240" w:lineRule="auto"/>
        <w:ind w:left="360"/>
        <w:rPr>
          <w:rFonts w:cs="Arial"/>
        </w:rPr>
      </w:pPr>
    </w:p>
    <w:p w14:paraId="61087B9C" w14:textId="77777777" w:rsidR="00171C5D" w:rsidRDefault="00000000">
      <w:pPr>
        <w:keepNext/>
        <w:widowControl w:val="0"/>
        <w:numPr>
          <w:ilvl w:val="0"/>
          <w:numId w:val="13"/>
        </w:numPr>
        <w:spacing w:after="0" w:line="240" w:lineRule="auto"/>
        <w:rPr>
          <w:rFonts w:cs="Arial"/>
        </w:rPr>
      </w:pPr>
      <w:r>
        <w:rPr>
          <w:rFonts w:cs="Arial"/>
        </w:rPr>
        <w:t xml:space="preserve">If applicable to a planned HOME TBRA activity, a description of the preference for </w:t>
      </w:r>
      <w:proofErr w:type="gramStart"/>
      <w:r>
        <w:rPr>
          <w:rFonts w:cs="Arial"/>
        </w:rPr>
        <w:t>persons</w:t>
      </w:r>
      <w:proofErr w:type="gramEnd"/>
      <w:r>
        <w:rPr>
          <w:rFonts w:cs="Arial"/>
        </w:rPr>
        <w:t xml:space="preserve"> with special needs or disabilities. (See 24 CFR 92.209(c)(2)(i) and CFR 91.220(l)(2)(vii)).</w:t>
      </w:r>
    </w:p>
    <w:p w14:paraId="1D7B06E3" w14:textId="77777777" w:rsidR="00171C5D" w:rsidRDefault="00000000">
      <w:pPr>
        <w:keepNext/>
        <w:widowControl w:val="0"/>
        <w:spacing w:beforeAutospacing="1" w:afterAutospacing="1"/>
        <w:ind w:left="360"/>
        <w:rPr>
          <w:rFonts w:cs="Arial"/>
        </w:rPr>
      </w:pPr>
      <w:r>
        <w:rPr>
          <w:rFonts w:cs="Arial"/>
        </w:rPr>
        <w:t>N/A</w:t>
      </w:r>
    </w:p>
    <w:p w14:paraId="13C3E592" w14:textId="77777777" w:rsidR="00171C5D" w:rsidRDefault="00171C5D">
      <w:pPr>
        <w:spacing w:after="0" w:line="240" w:lineRule="auto"/>
        <w:ind w:left="360"/>
        <w:rPr>
          <w:rFonts w:cs="Arial"/>
        </w:rPr>
      </w:pPr>
    </w:p>
    <w:p w14:paraId="5D4AC0DE" w14:textId="77777777" w:rsidR="00171C5D" w:rsidRDefault="00000000">
      <w:pPr>
        <w:keepNext/>
        <w:widowControl w:val="0"/>
        <w:numPr>
          <w:ilvl w:val="0"/>
          <w:numId w:val="13"/>
        </w:numPr>
        <w:spacing w:after="0" w:line="240" w:lineRule="auto"/>
        <w:rPr>
          <w:rFonts w:cs="Arial"/>
        </w:rPr>
      </w:pPr>
      <w:r>
        <w:rPr>
          <w:rFonts w:cs="Arial"/>
        </w:rPr>
        <w:t>If applicable to a planned HOME TBRA activity, a description of how the preference for a specific category of individuals with disabilities (e.g. persons with HIV/AIDS or chronic mental illness) will narrow the gap in benefits and the preference is needed to narrow the gap in benefits and services received by such persons. (See 24 CFR 92.209(c)(2)(ii) and 91.220(l)(2)(vii)).</w:t>
      </w:r>
    </w:p>
    <w:p w14:paraId="17D5F2A5" w14:textId="77777777" w:rsidR="00171C5D" w:rsidRDefault="00000000">
      <w:pPr>
        <w:keepNext/>
        <w:widowControl w:val="0"/>
        <w:spacing w:beforeAutospacing="1" w:afterAutospacing="1"/>
        <w:ind w:left="360"/>
        <w:rPr>
          <w:rFonts w:cs="Arial"/>
        </w:rPr>
      </w:pPr>
      <w:r>
        <w:rPr>
          <w:rFonts w:cs="Arial"/>
        </w:rPr>
        <w:t>N/A</w:t>
      </w:r>
    </w:p>
    <w:p w14:paraId="05CA704C" w14:textId="77777777" w:rsidR="00171C5D" w:rsidRDefault="00171C5D">
      <w:pPr>
        <w:spacing w:after="0" w:line="240" w:lineRule="auto"/>
        <w:ind w:left="360"/>
        <w:rPr>
          <w:rFonts w:cs="Arial"/>
        </w:rPr>
      </w:pPr>
    </w:p>
    <w:p w14:paraId="4242CA9B" w14:textId="77777777" w:rsidR="00171C5D" w:rsidRDefault="00000000">
      <w:pPr>
        <w:keepNext/>
        <w:widowControl w:val="0"/>
        <w:numPr>
          <w:ilvl w:val="0"/>
          <w:numId w:val="13"/>
        </w:numPr>
        <w:spacing w:after="0" w:line="240" w:lineRule="auto"/>
        <w:rPr>
          <w:rFonts w:cs="Arial"/>
        </w:rPr>
      </w:pPr>
      <w:r>
        <w:rPr>
          <w:rFonts w:cs="Arial"/>
        </w:rPr>
        <w:t xml:space="preserve">If applicable, a description of any preference or limitation for rental housing projects. (See 24 CFR 92.253(d)(3) and CFR 91.220(l)(2)(vii)). Note: Preferences cannot be administered in a manner that limits the opportunities of </w:t>
      </w:r>
      <w:proofErr w:type="gramStart"/>
      <w:r>
        <w:rPr>
          <w:rFonts w:cs="Arial"/>
        </w:rPr>
        <w:t>persons</w:t>
      </w:r>
      <w:proofErr w:type="gramEnd"/>
      <w:r>
        <w:rPr>
          <w:rFonts w:cs="Arial"/>
        </w:rPr>
        <w:t xml:space="preserve"> on any basis prohibited by the laws listed under 24 CFR 5.105(a).</w:t>
      </w:r>
    </w:p>
    <w:p w14:paraId="17638297" w14:textId="77777777" w:rsidR="00171C5D" w:rsidRDefault="00000000">
      <w:pPr>
        <w:keepNext/>
        <w:widowControl w:val="0"/>
        <w:spacing w:beforeAutospacing="1" w:afterAutospacing="1"/>
        <w:ind w:left="360"/>
        <w:rPr>
          <w:rFonts w:cs="Arial"/>
        </w:rPr>
      </w:pPr>
      <w:r>
        <w:rPr>
          <w:rFonts w:cs="Arial"/>
        </w:rPr>
        <w:t>N/A</w:t>
      </w:r>
    </w:p>
    <w:p w14:paraId="5F958C02" w14:textId="77777777" w:rsidR="00171C5D" w:rsidRDefault="00171C5D">
      <w:pPr>
        <w:spacing w:after="0" w:line="240" w:lineRule="auto"/>
        <w:ind w:left="360"/>
        <w:rPr>
          <w:rFonts w:cs="Arial"/>
        </w:rPr>
      </w:pPr>
    </w:p>
    <w:p w14:paraId="07290890" w14:textId="77777777" w:rsidR="00171C5D" w:rsidRDefault="00000000">
      <w:pPr>
        <w:keepNext/>
        <w:widowControl w:val="0"/>
        <w:spacing w:after="0" w:line="240" w:lineRule="auto"/>
        <w:jc w:val="center"/>
        <w:rPr>
          <w:rFonts w:cs="Arial"/>
          <w:b/>
          <w:i/>
          <w:sz w:val="24"/>
          <w:szCs w:val="24"/>
        </w:rPr>
      </w:pPr>
      <w:r>
        <w:rPr>
          <w:rFonts w:cs="Arial"/>
          <w:b/>
          <w:sz w:val="24"/>
          <w:szCs w:val="24"/>
        </w:rPr>
        <w:lastRenderedPageBreak/>
        <w:t>Emergency Solutions Grant (ESG)</w:t>
      </w:r>
      <w:r>
        <w:rPr>
          <w:i/>
        </w:rPr>
        <w:t xml:space="preserve"> </w:t>
      </w:r>
    </w:p>
    <w:p w14:paraId="4C3A3C00" w14:textId="77777777" w:rsidR="00171C5D" w:rsidRDefault="00000000">
      <w:pPr>
        <w:keepNext/>
        <w:widowControl w:val="0"/>
        <w:spacing w:after="0" w:line="240" w:lineRule="auto"/>
        <w:jc w:val="center"/>
        <w:rPr>
          <w:b/>
          <w:bCs/>
          <w:sz w:val="24"/>
          <w:szCs w:val="24"/>
        </w:rPr>
      </w:pPr>
      <w:r>
        <w:rPr>
          <w:rStyle w:val="Strong"/>
          <w:sz w:val="24"/>
          <w:szCs w:val="24"/>
        </w:rPr>
        <w:t xml:space="preserve">Reference 91.220(l)(4) </w:t>
      </w:r>
    </w:p>
    <w:p w14:paraId="711CB4F9" w14:textId="77777777" w:rsidR="00171C5D" w:rsidRDefault="00171C5D">
      <w:pPr>
        <w:keepNext/>
        <w:widowControl w:val="0"/>
        <w:spacing w:after="0" w:line="240" w:lineRule="auto"/>
        <w:jc w:val="center"/>
        <w:rPr>
          <w:rFonts w:cs="Arial"/>
          <w:b/>
          <w:sz w:val="24"/>
          <w:szCs w:val="24"/>
        </w:rPr>
      </w:pPr>
    </w:p>
    <w:p w14:paraId="7557A0A7" w14:textId="77777777" w:rsidR="00171C5D" w:rsidRDefault="00000000">
      <w:pPr>
        <w:keepNext/>
        <w:widowControl w:val="0"/>
        <w:numPr>
          <w:ilvl w:val="0"/>
          <w:numId w:val="16"/>
        </w:numPr>
        <w:spacing w:after="0" w:line="240" w:lineRule="auto"/>
        <w:rPr>
          <w:rFonts w:cs="Arial"/>
        </w:rPr>
      </w:pPr>
      <w:r>
        <w:rPr>
          <w:sz w:val="24"/>
          <w:szCs w:val="24"/>
        </w:rPr>
        <w:t>Include written standards for providing ESG assistance (may include as attachment)</w:t>
      </w:r>
      <w:r>
        <w:rPr>
          <w:i/>
        </w:rPr>
        <w:t xml:space="preserve"> </w:t>
      </w:r>
    </w:p>
    <w:p w14:paraId="3DBB0B99" w14:textId="77777777" w:rsidR="00171C5D" w:rsidRDefault="00000000">
      <w:pPr>
        <w:keepNext/>
        <w:widowControl w:val="0"/>
        <w:spacing w:beforeAutospacing="1" w:afterAutospacing="1"/>
        <w:ind w:left="360"/>
        <w:rPr>
          <w:rFonts w:cs="Arial"/>
        </w:rPr>
      </w:pPr>
      <w:r>
        <w:rPr>
          <w:rFonts w:cs="Arial"/>
        </w:rPr>
        <w:t>Included in Attachments</w:t>
      </w:r>
    </w:p>
    <w:p w14:paraId="4BB8B9D5" w14:textId="77777777" w:rsidR="00171C5D" w:rsidRDefault="00000000">
      <w:pPr>
        <w:keepNext/>
        <w:widowControl w:val="0"/>
        <w:numPr>
          <w:ilvl w:val="0"/>
          <w:numId w:val="16"/>
        </w:numPr>
        <w:spacing w:after="0" w:line="240" w:lineRule="auto"/>
        <w:rPr>
          <w:rFonts w:cs="Arial"/>
        </w:rPr>
      </w:pPr>
      <w:r>
        <w:rPr>
          <w:sz w:val="24"/>
          <w:szCs w:val="24"/>
        </w:rPr>
        <w:t xml:space="preserve">If the Continuum of Care has established </w:t>
      </w:r>
      <w:proofErr w:type="gramStart"/>
      <w:r>
        <w:rPr>
          <w:sz w:val="24"/>
          <w:szCs w:val="24"/>
        </w:rPr>
        <w:t>centralized</w:t>
      </w:r>
      <w:proofErr w:type="gramEnd"/>
      <w:r>
        <w:rPr>
          <w:sz w:val="24"/>
          <w:szCs w:val="24"/>
        </w:rPr>
        <w:t xml:space="preserve"> or coordinated assessment system that meets HUD requirements, describe that centralized or coordinated assessment system.</w:t>
      </w:r>
      <w:r>
        <w:rPr>
          <w:i/>
        </w:rPr>
        <w:t xml:space="preserve"> </w:t>
      </w:r>
    </w:p>
    <w:p w14:paraId="08BE04A3" w14:textId="77777777" w:rsidR="00171C5D" w:rsidRDefault="00000000">
      <w:pPr>
        <w:widowControl w:val="0"/>
        <w:spacing w:beforeAutospacing="1" w:afterAutospacing="1"/>
        <w:ind w:left="360"/>
        <w:rPr>
          <w:rFonts w:cs="Arial"/>
        </w:rPr>
      </w:pPr>
      <w:r>
        <w:rPr>
          <w:rFonts w:cs="Arial"/>
        </w:rPr>
        <w:t>The Baltimore City CoC has both Coordinated Entry and Coordinated Access.</w:t>
      </w:r>
    </w:p>
    <w:p w14:paraId="7CC49609" w14:textId="77777777" w:rsidR="00171C5D" w:rsidRDefault="00000000">
      <w:pPr>
        <w:widowControl w:val="0"/>
        <w:spacing w:beforeAutospacing="1" w:afterAutospacing="1"/>
        <w:ind w:left="360"/>
        <w:rPr>
          <w:rFonts w:cs="Arial"/>
        </w:rPr>
      </w:pPr>
      <w:r>
        <w:rPr>
          <w:rFonts w:cs="Arial"/>
        </w:rPr>
        <w:t>The Coordinated Entry Line serves as the central access point for individuals seeking shelter placement, ensuring a streamlined and equitable process for those in need. Given the high demand for shelter beds, the system operates with a focus on utilization and capacity management to maximize available resources. Shelter placement is determined based on real-time bed availability, client needs, and eligibility criteria to ensure that those with the most urgent needs receive priority access. The Coordinated Entry staff work closely with shelter providers to monitor occupancy rates, ensuring that available beds are used efficiently and that any gaps in shelter capacity are addressed. By leveraging data and real-time coordination, the team helps optimize the use of limited resources while striving to provide every individual with a safe and stable place to stay</w:t>
      </w:r>
    </w:p>
    <w:p w14:paraId="1CBCD9A6" w14:textId="77777777" w:rsidR="00171C5D" w:rsidRDefault="00000000">
      <w:pPr>
        <w:widowControl w:val="0"/>
        <w:spacing w:beforeAutospacing="1" w:afterAutospacing="1"/>
        <w:ind w:left="360"/>
        <w:rPr>
          <w:rFonts w:cs="Arial"/>
        </w:rPr>
      </w:pPr>
      <w:r>
        <w:rPr>
          <w:rFonts w:cs="Arial"/>
        </w:rPr>
        <w:t>Coordinated Access is the first step towards movement to housing options by completing the Standardized Assessment. Baltimore utilizes existing service providers as access points for the system. These access points cover and are accessible throughout Baltimore City and are affirmatively marketed to eligible persons regardless of race, color, national origin, religion, sex, age, familial status, disability or who are least likely to complete a Coordinated Access System Assessment in the absence of special outreach.</w:t>
      </w:r>
    </w:p>
    <w:p w14:paraId="13F66AE2" w14:textId="77777777" w:rsidR="00171C5D" w:rsidRDefault="00000000">
      <w:pPr>
        <w:widowControl w:val="0"/>
        <w:spacing w:beforeAutospacing="1" w:afterAutospacing="1"/>
        <w:ind w:left="360"/>
        <w:rPr>
          <w:rFonts w:cs="Arial"/>
        </w:rPr>
      </w:pPr>
      <w:r>
        <w:rPr>
          <w:rFonts w:cs="Arial"/>
        </w:rPr>
        <w:t>The CoC uses the Housing Assessment, Client Unit Preference Assessment, Vulnerability Assessment and TAY-VI-SPDAT Assessment, with the latter two generating a point value at the end of completion.</w:t>
      </w:r>
    </w:p>
    <w:p w14:paraId="6F6F0EB4" w14:textId="77777777" w:rsidR="00171C5D" w:rsidRDefault="00000000">
      <w:pPr>
        <w:widowControl w:val="0"/>
        <w:spacing w:beforeAutospacing="1" w:afterAutospacing="1"/>
        <w:ind w:left="360"/>
        <w:rPr>
          <w:rFonts w:cs="Arial"/>
        </w:rPr>
      </w:pPr>
      <w:r>
        <w:rPr>
          <w:rFonts w:cs="Arial"/>
        </w:rPr>
        <w:t>The City of Baltimore utilizes a Coordinated Access System to prioritize eligible clients to vacancies.</w:t>
      </w:r>
    </w:p>
    <w:p w14:paraId="12940ED9" w14:textId="77777777" w:rsidR="00171C5D" w:rsidRDefault="00000000">
      <w:pPr>
        <w:widowControl w:val="0"/>
        <w:spacing w:beforeAutospacing="1" w:afterAutospacing="1"/>
        <w:ind w:left="360"/>
        <w:rPr>
          <w:rFonts w:cs="Arial"/>
        </w:rPr>
      </w:pPr>
      <w:r>
        <w:rPr>
          <w:rFonts w:cs="Arial"/>
        </w:rPr>
        <w:t>Vacancies are posted in Coordinated Access, and eligible households will be referred to the program. The Coordinated Access prioritization is on the following:</w:t>
      </w:r>
    </w:p>
    <w:p w14:paraId="550A4D42" w14:textId="77777777" w:rsidR="00171C5D" w:rsidRDefault="00000000">
      <w:pPr>
        <w:widowControl w:val="0"/>
        <w:numPr>
          <w:ilvl w:val="0"/>
          <w:numId w:val="3"/>
        </w:numPr>
        <w:spacing w:beforeAutospacing="1" w:afterAutospacing="1"/>
        <w:ind w:left="360"/>
        <w:rPr>
          <w:rFonts w:cs="Arial"/>
        </w:rPr>
      </w:pPr>
      <w:r>
        <w:rPr>
          <w:rFonts w:cs="Arial"/>
        </w:rPr>
        <w:t xml:space="preserve">Chronically Homeless (disabling condition and homeless for over 12 months) and the person with the highest Vulnerability Assessment score. If there are no clients that </w:t>
      </w:r>
      <w:proofErr w:type="gramStart"/>
      <w:r>
        <w:rPr>
          <w:rFonts w:cs="Arial"/>
        </w:rPr>
        <w:t>meets</w:t>
      </w:r>
      <w:proofErr w:type="gramEnd"/>
      <w:r>
        <w:rPr>
          <w:rFonts w:cs="Arial"/>
        </w:rPr>
        <w:t xml:space="preserve"> these criteria, we look at clients that are:</w:t>
      </w:r>
    </w:p>
    <w:p w14:paraId="0742C02F" w14:textId="77777777" w:rsidR="00171C5D" w:rsidRDefault="00000000">
      <w:pPr>
        <w:numPr>
          <w:ilvl w:val="0"/>
          <w:numId w:val="19"/>
        </w:numPr>
        <w:spacing w:beforeAutospacing="1" w:afterAutospacing="1"/>
      </w:pPr>
      <w:r>
        <w:rPr>
          <w:rFonts w:cs="Arial"/>
        </w:rPr>
        <w:lastRenderedPageBreak/>
        <w:t xml:space="preserve">Homeless (disabling condition with less than 12 months), clients are selected by the highest vulnerability score. If there are no clients that </w:t>
      </w:r>
      <w:proofErr w:type="gramStart"/>
      <w:r>
        <w:rPr>
          <w:rFonts w:cs="Arial"/>
        </w:rPr>
        <w:t>meets</w:t>
      </w:r>
      <w:proofErr w:type="gramEnd"/>
      <w:r>
        <w:rPr>
          <w:rFonts w:cs="Arial"/>
        </w:rPr>
        <w:t xml:space="preserve"> these criteria, we will refer the following clients to HOME-ARP.</w:t>
      </w:r>
    </w:p>
    <w:p w14:paraId="26D3916F" w14:textId="77777777" w:rsidR="00171C5D" w:rsidRDefault="00000000">
      <w:pPr>
        <w:numPr>
          <w:ilvl w:val="0"/>
          <w:numId w:val="19"/>
        </w:numPr>
        <w:spacing w:beforeAutospacing="1" w:afterAutospacing="1"/>
      </w:pPr>
      <w:r>
        <w:rPr>
          <w:rFonts w:cs="Arial"/>
        </w:rPr>
        <w:t>Homeless (</w:t>
      </w:r>
      <w:proofErr w:type="gramStart"/>
      <w:r>
        <w:rPr>
          <w:rFonts w:cs="Arial"/>
        </w:rPr>
        <w:t>no</w:t>
      </w:r>
      <w:proofErr w:type="gramEnd"/>
      <w:r>
        <w:rPr>
          <w:rFonts w:cs="Arial"/>
        </w:rPr>
        <w:t xml:space="preserve"> disabling condition) clients are selected by the highest vulnerability score.</w:t>
      </w:r>
    </w:p>
    <w:p w14:paraId="1D7F184F" w14:textId="77777777" w:rsidR="00171C5D" w:rsidRDefault="00000000">
      <w:pPr>
        <w:widowControl w:val="0"/>
        <w:spacing w:beforeAutospacing="1" w:afterAutospacing="1"/>
        <w:ind w:left="360"/>
        <w:rPr>
          <w:rFonts w:cs="Arial"/>
        </w:rPr>
      </w:pPr>
      <w:r>
        <w:rPr>
          <w:rFonts w:cs="Arial"/>
        </w:rPr>
        <w:t xml:space="preserve">Applicants may be offered housing regardless of vulnerability ranking, but more vulnerable </w:t>
      </w:r>
      <w:proofErr w:type="gramStart"/>
      <w:r>
        <w:rPr>
          <w:rFonts w:cs="Arial"/>
        </w:rPr>
        <w:t>persons</w:t>
      </w:r>
      <w:proofErr w:type="gramEnd"/>
      <w:r>
        <w:rPr>
          <w:rFonts w:cs="Arial"/>
        </w:rPr>
        <w:t xml:space="preserve"> will likely be offered housing before less vulnerable </w:t>
      </w:r>
      <w:proofErr w:type="gramStart"/>
      <w:r>
        <w:rPr>
          <w:rFonts w:cs="Arial"/>
        </w:rPr>
        <w:t>persons</w:t>
      </w:r>
      <w:proofErr w:type="gramEnd"/>
      <w:r>
        <w:rPr>
          <w:rFonts w:cs="Arial"/>
        </w:rPr>
        <w:t xml:space="preserve">. Baltimore has adopted a practice of filling housing units with people facing chronic homelessness first. If no person facing chronic homelessness can be found for the </w:t>
      </w:r>
      <w:proofErr w:type="spellStart"/>
      <w:proofErr w:type="gramStart"/>
      <w:r>
        <w:rPr>
          <w:rFonts w:cs="Arial"/>
        </w:rPr>
        <w:t>uni,t</w:t>
      </w:r>
      <w:proofErr w:type="spellEnd"/>
      <w:proofErr w:type="gramEnd"/>
      <w:r>
        <w:rPr>
          <w:rFonts w:cs="Arial"/>
        </w:rPr>
        <w:t xml:space="preserve"> the level of vulnerability will be taken into consideration as the next priority.</w:t>
      </w:r>
    </w:p>
    <w:p w14:paraId="2FD43F07" w14:textId="77777777" w:rsidR="00171C5D" w:rsidRDefault="00000000">
      <w:pPr>
        <w:widowControl w:val="0"/>
        <w:spacing w:beforeAutospacing="1" w:afterAutospacing="1"/>
        <w:ind w:left="360"/>
        <w:rPr>
          <w:rFonts w:cs="Arial"/>
        </w:rPr>
      </w:pPr>
      <w:r>
        <w:rPr>
          <w:rFonts w:cs="Arial"/>
        </w:rPr>
        <w:t>Clients fleeing or attempting to flee domestic violence (including dating violence, sexual assault, or stalking) are encouraged to work with House of Ruth of Maryland (a VAWA-covered Victim Services Provider). The House of Ruth of Maryland runs a parallel stand-alone Victim Coordinated Entry system to ensure DV clients are kept confidential. All providers serving clients fleeing or attempting to flee domestic violence must obtain consent to collect and share the client’s information and the consent must specify with whom the information is shared. Sharing is minimized as much as possible according to the client’s safety needs.</w:t>
      </w:r>
    </w:p>
    <w:p w14:paraId="7C82CF73" w14:textId="77777777" w:rsidR="00171C5D" w:rsidRDefault="00000000">
      <w:pPr>
        <w:keepNext/>
        <w:widowControl w:val="0"/>
        <w:numPr>
          <w:ilvl w:val="0"/>
          <w:numId w:val="16"/>
        </w:numPr>
        <w:spacing w:after="0" w:line="240" w:lineRule="auto"/>
        <w:rPr>
          <w:rFonts w:cs="Arial"/>
        </w:rPr>
      </w:pPr>
      <w:r>
        <w:rPr>
          <w:sz w:val="24"/>
          <w:szCs w:val="24"/>
        </w:rPr>
        <w:t xml:space="preserve">Identify the process for making sub-awards and describe how the ESG allocation </w:t>
      </w:r>
      <w:proofErr w:type="gramStart"/>
      <w:r>
        <w:rPr>
          <w:sz w:val="24"/>
          <w:szCs w:val="24"/>
        </w:rPr>
        <w:t>available</w:t>
      </w:r>
      <w:proofErr w:type="gramEnd"/>
      <w:r>
        <w:rPr>
          <w:sz w:val="24"/>
          <w:szCs w:val="24"/>
        </w:rPr>
        <w:t xml:space="preserve"> to private nonprofit organizations (including community and faith-based organizations).</w:t>
      </w:r>
      <w:r>
        <w:rPr>
          <w:i/>
        </w:rPr>
        <w:t xml:space="preserve"> </w:t>
      </w:r>
    </w:p>
    <w:p w14:paraId="415D5BCC" w14:textId="77777777" w:rsidR="00171C5D" w:rsidRDefault="00000000">
      <w:pPr>
        <w:widowControl w:val="0"/>
        <w:spacing w:beforeAutospacing="1" w:afterAutospacing="1"/>
        <w:ind w:left="360"/>
        <w:rPr>
          <w:rFonts w:cs="Arial"/>
        </w:rPr>
      </w:pPr>
      <w:r>
        <w:rPr>
          <w:rFonts w:cs="Arial"/>
        </w:rPr>
        <w:t>The Mayor’s Office of Homeless Services (MOHS) selects subgrantees through a public Request for Proposals (RFP) as part of the Consolidated Funding Application (CFA) process held annually. The CFA is open to all nonprofit organizations, faith-based organizations, government agencies, and other entities that have tax-exempt status and meet the eligibility criteria. MOHS in partnership with the CoC establishes funding priorities that are detailed in the RFP guidance, along with information about the funding sources and eligible activities and requirements.</w:t>
      </w:r>
    </w:p>
    <w:p w14:paraId="3597860A" w14:textId="77777777" w:rsidR="00171C5D" w:rsidRDefault="00000000">
      <w:pPr>
        <w:widowControl w:val="0"/>
        <w:spacing w:beforeAutospacing="1" w:afterAutospacing="1"/>
        <w:ind w:left="360"/>
        <w:rPr>
          <w:rFonts w:cs="Arial"/>
        </w:rPr>
      </w:pPr>
      <w:r>
        <w:rPr>
          <w:rFonts w:cs="Arial"/>
        </w:rPr>
        <w:t xml:space="preserve">The CFA allocates funding through five different funding sources that </w:t>
      </w:r>
      <w:proofErr w:type="gramStart"/>
      <w:r>
        <w:rPr>
          <w:rFonts w:cs="Arial"/>
        </w:rPr>
        <w:t>includes</w:t>
      </w:r>
      <w:proofErr w:type="gramEnd"/>
      <w:r>
        <w:rPr>
          <w:rFonts w:cs="Arial"/>
        </w:rPr>
        <w:t xml:space="preserve"> ESG. The RFP is open for a minimum of 30 days and is publicized through the MOHS website under grant opportunities. In addition, the announcement is widely broadcasted through a Continuum of Care (CoC) newsletter and social media platforms. All application materials are made available online to any agency interested in applying through the MOHS website (homeless.baltimorecity.gov). MOHS hosts a virtual Bidder’s Conference after the release of the RFP that provides detailed instructions on the RFP requirements and provides an opportunity for new and returning agencies to ask questions </w:t>
      </w:r>
      <w:proofErr w:type="gramStart"/>
      <w:r>
        <w:rPr>
          <w:rFonts w:cs="Arial"/>
        </w:rPr>
        <w:t>as a way to</w:t>
      </w:r>
      <w:proofErr w:type="gramEnd"/>
      <w:r>
        <w:rPr>
          <w:rFonts w:cs="Arial"/>
        </w:rPr>
        <w:t xml:space="preserve"> ensure the application process is equitable.</w:t>
      </w:r>
    </w:p>
    <w:p w14:paraId="10FDFAD0" w14:textId="77777777" w:rsidR="00171C5D" w:rsidRDefault="00000000">
      <w:pPr>
        <w:widowControl w:val="0"/>
        <w:spacing w:beforeAutospacing="1" w:afterAutospacing="1"/>
        <w:ind w:left="360"/>
        <w:rPr>
          <w:rFonts w:cs="Arial"/>
        </w:rPr>
      </w:pPr>
      <w:r>
        <w:rPr>
          <w:rFonts w:cs="Arial"/>
        </w:rPr>
        <w:t xml:space="preserve">Each project application undergoes a two-step threshold review to assess eligibility and completeness prior to being evaluated on the project’s design and performance goals. Applications that pass the threshold review are evaluated and scored competitively by a review panel. The reviewers consist of MOHS staff, CoC members from the Resource Allocation Committee that </w:t>
      </w:r>
      <w:r>
        <w:rPr>
          <w:rFonts w:cs="Arial"/>
        </w:rPr>
        <w:lastRenderedPageBreak/>
        <w:t>include individuals and youth with lived experience of homelessness. In addition, MOHS consults with the CoC’s Resource Allocation Committee on project allocations and performance objectives. The committee is comprised of local community leaders in the business, government, and nonprofit sectors. The amount and type of funds allocated to each program is taken into consideration in the score of each proposal, which must align with the funding priorities identified by MOHS and the CoC. Renewal projects are also evaluated on the project’s prior-year performance and compliance with funding regulations (as applicable).</w:t>
      </w:r>
    </w:p>
    <w:p w14:paraId="7A8BB47B" w14:textId="77777777" w:rsidR="00171C5D" w:rsidRDefault="00000000">
      <w:pPr>
        <w:keepNext/>
        <w:widowControl w:val="0"/>
        <w:numPr>
          <w:ilvl w:val="0"/>
          <w:numId w:val="16"/>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14:paraId="5C97D85B" w14:textId="77777777" w:rsidR="00171C5D" w:rsidRDefault="00000000">
      <w:pPr>
        <w:widowControl w:val="0"/>
        <w:spacing w:beforeAutospacing="1" w:afterAutospacing="1"/>
        <w:ind w:left="360"/>
        <w:rPr>
          <w:rFonts w:cs="Arial"/>
        </w:rPr>
      </w:pPr>
      <w:r>
        <w:rPr>
          <w:rFonts w:cs="Arial"/>
        </w:rPr>
        <w:t>Baltimore meets the homeless participation requirements outlined in 24 CFR 576.415(a). The Continuum of Care Board includes up to eight seats for people with lived experience of homelessness. Of those seats, the Board dedicates at least two youth seats and one domestic violence survivor. The CoC has an official Lived Experience Advisory Committee (LEAC) and Youth Action Board (YAB) that are responsible for advising the Continuum of Care and MOHS — with the goal of improving the quality and effectiveness of the homeless service system. The Chairs of the LEAC and YAB, also serve on the CoC Board and the CoC Executive Committee. Additionally, the Resource Allocation Committee includes at least one representative who formerly experienced homelessness. At a minimum, subrecipients are required to have at least one board member with lived experience of homelessness. However, to improve the quality and effectiveness of homelessness assistance, subrecipients are highly encouraged to include people with lived experience in policy, planning, and program operations through meaningful partnerships.</w:t>
      </w:r>
    </w:p>
    <w:p w14:paraId="4853F6B2" w14:textId="77777777" w:rsidR="00171C5D" w:rsidRDefault="00000000">
      <w:pPr>
        <w:keepNext/>
        <w:widowControl w:val="0"/>
        <w:numPr>
          <w:ilvl w:val="0"/>
          <w:numId w:val="16"/>
        </w:numPr>
        <w:spacing w:after="0" w:line="240" w:lineRule="auto"/>
        <w:rPr>
          <w:rFonts w:cs="Arial"/>
          <w:i/>
        </w:rPr>
      </w:pPr>
      <w:r>
        <w:rPr>
          <w:sz w:val="24"/>
          <w:szCs w:val="24"/>
        </w:rPr>
        <w:t>Describe performance standards for evaluating ESG.</w:t>
      </w:r>
      <w:r>
        <w:rPr>
          <w:i/>
        </w:rPr>
        <w:t xml:space="preserve"> </w:t>
      </w:r>
    </w:p>
    <w:p w14:paraId="582BEA1F" w14:textId="77777777" w:rsidR="00171C5D" w:rsidRDefault="00000000">
      <w:pPr>
        <w:widowControl w:val="0"/>
        <w:spacing w:beforeAutospacing="1" w:afterAutospacing="1"/>
        <w:ind w:left="360"/>
        <w:rPr>
          <w:rFonts w:cs="Arial"/>
        </w:rPr>
      </w:pPr>
      <w:r>
        <w:rPr>
          <w:rFonts w:cs="Arial"/>
        </w:rPr>
        <w:t xml:space="preserve">Monitoring is a vital component to the success of our funded projects. The monitoring process accesses performance and quality assurance through data collection, analytics, fiscal/ grant management and site visitation. Monitoring is critical for making informed decisions about the program’s effectiveness and efficiency, and if it </w:t>
      </w:r>
      <w:proofErr w:type="gramStart"/>
      <w:r>
        <w:rPr>
          <w:rFonts w:cs="Arial"/>
        </w:rPr>
        <w:t>is meeting</w:t>
      </w:r>
      <w:proofErr w:type="gramEnd"/>
      <w:r>
        <w:rPr>
          <w:rFonts w:cs="Arial"/>
        </w:rPr>
        <w:t xml:space="preserve"> a critical need in the community. The monitoring process is typically facilitated annually, </w:t>
      </w:r>
      <w:proofErr w:type="gramStart"/>
      <w:r>
        <w:rPr>
          <w:rFonts w:cs="Arial"/>
        </w:rPr>
        <w:t>however</w:t>
      </w:r>
      <w:proofErr w:type="gramEnd"/>
      <w:r>
        <w:rPr>
          <w:rFonts w:cs="Arial"/>
        </w:rPr>
        <w:t xml:space="preserve"> may be more frequent based on risk assessments. The Consolidated Funding Application, which is the method of selecting ESG sub-recipients, will rely heavily on the following project-level performance measures: </w:t>
      </w:r>
    </w:p>
    <w:p w14:paraId="27C190D6" w14:textId="77777777" w:rsidR="00171C5D" w:rsidRDefault="00000000">
      <w:pPr>
        <w:widowControl w:val="0"/>
        <w:spacing w:beforeAutospacing="1" w:afterAutospacing="1"/>
        <w:ind w:left="360"/>
        <w:rPr>
          <w:rFonts w:cs="Arial"/>
        </w:rPr>
      </w:pPr>
      <w:r>
        <w:rPr>
          <w:rFonts w:cs="Arial"/>
        </w:rPr>
        <w:t xml:space="preserve">• Length-of-time </w:t>
      </w:r>
      <w:proofErr w:type="gramStart"/>
      <w:r>
        <w:rPr>
          <w:rFonts w:cs="Arial"/>
        </w:rPr>
        <w:t>persons</w:t>
      </w:r>
      <w:proofErr w:type="gramEnd"/>
      <w:r>
        <w:rPr>
          <w:rFonts w:cs="Arial"/>
        </w:rPr>
        <w:t xml:space="preserve"> remain homeless. </w:t>
      </w:r>
    </w:p>
    <w:p w14:paraId="47DE38F5" w14:textId="77777777" w:rsidR="00171C5D" w:rsidRDefault="00000000">
      <w:pPr>
        <w:widowControl w:val="0"/>
        <w:spacing w:beforeAutospacing="1" w:afterAutospacing="1"/>
        <w:ind w:left="360"/>
        <w:rPr>
          <w:rFonts w:cs="Arial"/>
        </w:rPr>
      </w:pPr>
      <w:r>
        <w:rPr>
          <w:rFonts w:cs="Arial"/>
        </w:rPr>
        <w:t>• Successful placement in permanent housing.</w:t>
      </w:r>
    </w:p>
    <w:p w14:paraId="333BF954" w14:textId="77777777" w:rsidR="00171C5D" w:rsidRDefault="00000000">
      <w:pPr>
        <w:widowControl w:val="0"/>
        <w:spacing w:beforeAutospacing="1" w:afterAutospacing="1"/>
        <w:ind w:left="360"/>
        <w:rPr>
          <w:rFonts w:cs="Arial"/>
        </w:rPr>
      </w:pPr>
      <w:r>
        <w:rPr>
          <w:rFonts w:cs="Arial"/>
        </w:rPr>
        <w:t>• Returns to homelessness from permanent housing.</w:t>
      </w:r>
    </w:p>
    <w:p w14:paraId="1ED8DBB1" w14:textId="77777777" w:rsidR="00171C5D" w:rsidRDefault="00000000">
      <w:pPr>
        <w:widowControl w:val="0"/>
        <w:spacing w:beforeAutospacing="1" w:afterAutospacing="1"/>
        <w:ind w:left="360"/>
        <w:rPr>
          <w:rFonts w:cs="Arial"/>
        </w:rPr>
      </w:pPr>
      <w:r>
        <w:rPr>
          <w:rFonts w:cs="Arial"/>
        </w:rPr>
        <w:lastRenderedPageBreak/>
        <w:t xml:space="preserve">• Employment, income, and benefits growth for homeless </w:t>
      </w:r>
      <w:proofErr w:type="gramStart"/>
      <w:r>
        <w:rPr>
          <w:rFonts w:cs="Arial"/>
        </w:rPr>
        <w:t>persons</w:t>
      </w:r>
      <w:proofErr w:type="gramEnd"/>
      <w:r>
        <w:rPr>
          <w:rFonts w:cs="Arial"/>
        </w:rPr>
        <w:t>.</w:t>
      </w:r>
    </w:p>
    <w:p w14:paraId="0070D66B" w14:textId="77777777" w:rsidR="00171C5D" w:rsidRDefault="00000000">
      <w:pPr>
        <w:widowControl w:val="0"/>
        <w:spacing w:beforeAutospacing="1" w:afterAutospacing="1"/>
        <w:ind w:left="360"/>
        <w:rPr>
          <w:rFonts w:cs="Arial"/>
        </w:rPr>
      </w:pPr>
      <w:r>
        <w:rPr>
          <w:rFonts w:cs="Arial"/>
        </w:rPr>
        <w:t>• Percent of clients who exit to or retain permanent housing.</w:t>
      </w:r>
    </w:p>
    <w:p w14:paraId="03DE746E" w14:textId="77777777" w:rsidR="00171C5D" w:rsidRDefault="00000000">
      <w:pPr>
        <w:widowControl w:val="0"/>
        <w:spacing w:beforeAutospacing="1" w:afterAutospacing="1"/>
        <w:ind w:left="360"/>
        <w:rPr>
          <w:rFonts w:cs="Arial"/>
        </w:rPr>
      </w:pPr>
      <w:r>
        <w:rPr>
          <w:rFonts w:cs="Arial"/>
        </w:rPr>
        <w:t>• Successful placement into housing program or permanent housing from street outreach.</w:t>
      </w:r>
    </w:p>
    <w:p w14:paraId="0825643A" w14:textId="77777777" w:rsidR="00171C5D" w:rsidRDefault="00000000">
      <w:pPr>
        <w:widowControl w:val="0"/>
        <w:spacing w:beforeAutospacing="1" w:afterAutospacing="1"/>
        <w:ind w:left="360"/>
        <w:rPr>
          <w:rFonts w:cs="Arial"/>
        </w:rPr>
      </w:pPr>
      <w:r>
        <w:rPr>
          <w:rFonts w:cs="Arial"/>
        </w:rPr>
        <w:t>• Utilization rate of units/beds for homeless or formerly homeless persons and persons served.</w:t>
      </w:r>
    </w:p>
    <w:p w14:paraId="1D82AFE4" w14:textId="77777777" w:rsidR="00171C5D" w:rsidRDefault="00171C5D"/>
    <w:p w14:paraId="39A2757B" w14:textId="77777777" w:rsidR="00171C5D" w:rsidRDefault="00171C5D">
      <w:pPr>
        <w:contextualSpacing/>
        <w:rPr>
          <w:b/>
          <w:color w:val="000000" w:themeColor="text1"/>
          <w:sz w:val="24"/>
          <w:szCs w:val="24"/>
        </w:rPr>
      </w:pPr>
    </w:p>
    <w:p w14:paraId="2881CFD1" w14:textId="77777777" w:rsidR="00171C5D" w:rsidRDefault="00171C5D">
      <w:pPr>
        <w:widowControl w:val="0"/>
        <w:spacing w:after="0" w:line="240" w:lineRule="auto"/>
        <w:rPr>
          <w:rFonts w:cs="Calibri"/>
          <w:b/>
          <w:bCs/>
        </w:rPr>
      </w:pPr>
    </w:p>
    <w:p w14:paraId="170E607E" w14:textId="77777777" w:rsidR="00171C5D" w:rsidRDefault="00000000">
      <w:pPr>
        <w:widowControl w:val="0"/>
        <w:spacing w:after="0" w:line="240" w:lineRule="auto"/>
        <w:jc w:val="center"/>
        <w:rPr>
          <w:rFonts w:cs="Calibri"/>
          <w:b/>
          <w:bCs/>
        </w:rPr>
      </w:pPr>
      <w:r>
        <w:rPr>
          <w:rFonts w:cs="Calibri"/>
          <w:b/>
          <w:bCs/>
        </w:rPr>
        <w:t>Housing Trust Fund (HTF)</w:t>
      </w:r>
    </w:p>
    <w:p w14:paraId="1D9873E7" w14:textId="77777777" w:rsidR="00171C5D" w:rsidRDefault="00000000">
      <w:pPr>
        <w:widowControl w:val="0"/>
        <w:spacing w:after="0" w:line="240" w:lineRule="auto"/>
        <w:jc w:val="center"/>
        <w:rPr>
          <w:rFonts w:eastAsia="Cambria"/>
          <w:spacing w:val="6"/>
        </w:rPr>
      </w:pPr>
      <w:r>
        <w:rPr>
          <w:rFonts w:cs="Calibri"/>
          <w:b/>
          <w:bCs/>
        </w:rPr>
        <w:t>Reference 24 CFR 91.220(l)(5)</w:t>
      </w:r>
    </w:p>
    <w:p w14:paraId="7CA32C3F" w14:textId="77777777" w:rsidR="00171C5D" w:rsidRDefault="00171C5D">
      <w:pPr>
        <w:widowControl w:val="0"/>
        <w:spacing w:after="0" w:line="240" w:lineRule="auto"/>
        <w:rPr>
          <w:rFonts w:eastAsia="Cambria" w:cs="Calibri"/>
        </w:rPr>
      </w:pPr>
    </w:p>
    <w:p w14:paraId="1AE56A18" w14:textId="77777777" w:rsidR="00171C5D" w:rsidRDefault="00000000">
      <w:pPr>
        <w:widowControl w:val="0"/>
        <w:spacing w:after="0" w:line="240" w:lineRule="auto"/>
        <w:rPr>
          <w:rFonts w:cs="Calibri"/>
          <w:spacing w:val="-1"/>
        </w:rPr>
      </w:pPr>
      <w:r>
        <w:rPr>
          <w:rFonts w:eastAsia="Cambria" w:cs="Calibri"/>
        </w:rPr>
        <w:t>1. Distribution of Funds</w:t>
      </w:r>
      <w:r>
        <w:rPr>
          <w:rFonts w:cs="Calibri"/>
          <w:spacing w:val="-1"/>
        </w:rPr>
        <w:t xml:space="preserve"> </w:t>
      </w:r>
    </w:p>
    <w:p w14:paraId="6E23E246" w14:textId="77777777" w:rsidR="00171C5D" w:rsidRDefault="00171C5D">
      <w:pPr>
        <w:widowControl w:val="0"/>
        <w:spacing w:after="0" w:line="240" w:lineRule="auto"/>
        <w:rPr>
          <w:rFonts w:cs="Calibri"/>
          <w:spacing w:val="-1"/>
        </w:rPr>
      </w:pPr>
    </w:p>
    <w:p w14:paraId="71AC832D" w14:textId="77777777" w:rsidR="00171C5D" w:rsidRDefault="00000000">
      <w:pPr>
        <w:widowControl w:val="0"/>
        <w:spacing w:after="0" w:line="240" w:lineRule="auto"/>
        <w:rPr>
          <w:rFonts w:cs="Calibri"/>
        </w:rPr>
      </w:pPr>
      <w:r>
        <w:rPr>
          <w:rFonts w:cs="Calibri"/>
          <w:spacing w:val="2"/>
        </w:rPr>
        <w:t>a. D</w:t>
      </w:r>
      <w:r>
        <w:rPr>
          <w:rFonts w:cs="Calibri"/>
          <w:spacing w:val="-1"/>
        </w:rPr>
        <w:t>escribe</w:t>
      </w:r>
      <w:r>
        <w:rPr>
          <w:rFonts w:cs="Calibri"/>
          <w:spacing w:val="2"/>
        </w:rPr>
        <w:t xml:space="preserve"> </w:t>
      </w:r>
      <w:r>
        <w:rPr>
          <w:rFonts w:cs="Calibri"/>
          <w:spacing w:val="-1"/>
        </w:rPr>
        <w:t>the</w:t>
      </w:r>
      <w:r>
        <w:rPr>
          <w:rFonts w:cs="Calibri"/>
          <w:spacing w:val="-2"/>
        </w:rPr>
        <w:t xml:space="preserve"> </w:t>
      </w:r>
      <w:r>
        <w:rPr>
          <w:rFonts w:cs="Calibri"/>
          <w:spacing w:val="-1"/>
        </w:rPr>
        <w:t>eligibility</w:t>
      </w:r>
      <w:r>
        <w:rPr>
          <w:rFonts w:cs="Calibri"/>
        </w:rPr>
        <w:t xml:space="preserve"> </w:t>
      </w:r>
      <w:r>
        <w:rPr>
          <w:rFonts w:cs="Calibri"/>
          <w:spacing w:val="-1"/>
        </w:rPr>
        <w:t>requirements</w:t>
      </w:r>
      <w:r>
        <w:rPr>
          <w:rFonts w:cs="Calibri"/>
        </w:rPr>
        <w:t xml:space="preserve"> </w:t>
      </w:r>
      <w:r>
        <w:rPr>
          <w:rFonts w:cs="Calibri"/>
          <w:spacing w:val="-1"/>
        </w:rPr>
        <w:t>for</w:t>
      </w:r>
      <w:r>
        <w:rPr>
          <w:rFonts w:cs="Calibri"/>
        </w:rPr>
        <w:t xml:space="preserve"> </w:t>
      </w:r>
      <w:r>
        <w:rPr>
          <w:rFonts w:cs="Calibri"/>
          <w:spacing w:val="-1"/>
        </w:rPr>
        <w:t>recipients of HTF funds (as defined in 24 CFR § 93.2).</w:t>
      </w:r>
      <w:r>
        <w:rPr>
          <w:rFonts w:cs="Calibri"/>
          <w:spacing w:val="4"/>
        </w:rPr>
        <w:t xml:space="preserve"> </w:t>
      </w:r>
      <w:r>
        <w:rPr>
          <w:rFonts w:cs="Calibri"/>
          <w:spacing w:val="-1"/>
        </w:rPr>
        <w:t xml:space="preserve"> </w:t>
      </w:r>
    </w:p>
    <w:p w14:paraId="023136FC" w14:textId="77777777" w:rsidR="00171C5D" w:rsidRDefault="00171C5D">
      <w:pPr>
        <w:widowControl w:val="0"/>
        <w:spacing w:after="0" w:line="240" w:lineRule="auto"/>
        <w:rPr>
          <w:rFonts w:cs="Calibri"/>
        </w:rPr>
      </w:pPr>
    </w:p>
    <w:p w14:paraId="351708BC" w14:textId="77777777" w:rsidR="00171C5D" w:rsidRDefault="00171C5D">
      <w:pPr>
        <w:widowControl w:val="0"/>
        <w:spacing w:after="0" w:line="240" w:lineRule="auto"/>
        <w:rPr>
          <w:rFonts w:cs="Arial"/>
        </w:rPr>
      </w:pPr>
    </w:p>
    <w:p w14:paraId="4FB6EE10" w14:textId="77777777" w:rsidR="00171C5D" w:rsidRDefault="00171C5D">
      <w:pPr>
        <w:widowControl w:val="0"/>
        <w:spacing w:after="0" w:line="240" w:lineRule="auto"/>
        <w:rPr>
          <w:rFonts w:cs="Calibri"/>
        </w:rPr>
      </w:pPr>
    </w:p>
    <w:p w14:paraId="37D7BD85" w14:textId="77777777" w:rsidR="00171C5D" w:rsidRDefault="00000000">
      <w:pPr>
        <w:widowControl w:val="0"/>
        <w:spacing w:after="0" w:line="240" w:lineRule="auto"/>
        <w:rPr>
          <w:rFonts w:cs="Calibri"/>
        </w:rPr>
      </w:pPr>
      <w:r>
        <w:rPr>
          <w:rFonts w:cs="Calibri"/>
        </w:rPr>
        <w:t xml:space="preserve">b. Describe the </w:t>
      </w:r>
      <w:r>
        <w:rPr>
          <w:rFonts w:eastAsia="Cambria" w:cs="Calibri"/>
        </w:rPr>
        <w:t>jurisdiction</w:t>
      </w:r>
      <w:r>
        <w:rPr>
          <w:rFonts w:cs="Calibri"/>
        </w:rPr>
        <w:t xml:space="preserve">’s application requirements for eligible recipients to apply for HTF funds.  </w:t>
      </w:r>
    </w:p>
    <w:p w14:paraId="6A8E6BC2" w14:textId="77777777" w:rsidR="00171C5D" w:rsidRDefault="00171C5D">
      <w:pPr>
        <w:widowControl w:val="0"/>
        <w:spacing w:after="0" w:line="240" w:lineRule="auto"/>
        <w:rPr>
          <w:rFonts w:cs="Calibri"/>
        </w:rPr>
      </w:pPr>
    </w:p>
    <w:p w14:paraId="74C8E683" w14:textId="77777777" w:rsidR="00171C5D" w:rsidRDefault="00171C5D">
      <w:pPr>
        <w:widowControl w:val="0"/>
        <w:spacing w:after="0" w:line="240" w:lineRule="auto"/>
        <w:rPr>
          <w:rFonts w:cs="Arial"/>
        </w:rPr>
      </w:pPr>
    </w:p>
    <w:p w14:paraId="5A402527" w14:textId="77777777" w:rsidR="00171C5D" w:rsidRDefault="00171C5D">
      <w:pPr>
        <w:widowControl w:val="0"/>
        <w:spacing w:after="0" w:line="240" w:lineRule="auto"/>
        <w:rPr>
          <w:rFonts w:cs="Calibri"/>
        </w:rPr>
      </w:pPr>
    </w:p>
    <w:p w14:paraId="69DE22DB" w14:textId="77777777" w:rsidR="00171C5D" w:rsidRDefault="00000000">
      <w:pPr>
        <w:widowControl w:val="0"/>
        <w:spacing w:after="0" w:line="240" w:lineRule="auto"/>
        <w:rPr>
          <w:rFonts w:cs="Calibri"/>
        </w:rPr>
      </w:pPr>
      <w:r>
        <w:rPr>
          <w:rFonts w:cs="Calibri"/>
        </w:rPr>
        <w:t>c. Describe</w:t>
      </w:r>
      <w:r>
        <w:rPr>
          <w:rFonts w:cs="Calibri"/>
          <w:spacing w:val="-2"/>
        </w:rPr>
        <w:t xml:space="preserve"> </w:t>
      </w:r>
      <w:r>
        <w:rPr>
          <w:rFonts w:cs="Calibri"/>
          <w:spacing w:val="-4"/>
        </w:rPr>
        <w:t xml:space="preserve">the </w:t>
      </w:r>
      <w:r>
        <w:rPr>
          <w:rFonts w:cs="Calibri"/>
          <w:spacing w:val="-1"/>
        </w:rPr>
        <w:t>selection</w:t>
      </w:r>
      <w:r>
        <w:rPr>
          <w:rFonts w:cs="Calibri"/>
          <w:spacing w:val="-2"/>
        </w:rPr>
        <w:t xml:space="preserve"> </w:t>
      </w:r>
      <w:r>
        <w:rPr>
          <w:rFonts w:cs="Calibri"/>
          <w:spacing w:val="-1"/>
        </w:rPr>
        <w:t>criteria</w:t>
      </w:r>
      <w:r>
        <w:rPr>
          <w:rFonts w:cs="Calibri"/>
          <w:spacing w:val="-2"/>
        </w:rPr>
        <w:t xml:space="preserve"> </w:t>
      </w:r>
      <w:r>
        <w:rPr>
          <w:rFonts w:cs="Calibri"/>
          <w:spacing w:val="-1"/>
        </w:rPr>
        <w:t xml:space="preserve">that the </w:t>
      </w:r>
      <w:r>
        <w:rPr>
          <w:rFonts w:eastAsia="Cambria" w:cs="Calibri"/>
        </w:rPr>
        <w:t xml:space="preserve">jurisdiction </w:t>
      </w:r>
      <w:r>
        <w:rPr>
          <w:rFonts w:cs="Calibri"/>
          <w:spacing w:val="-1"/>
        </w:rPr>
        <w:t>will</w:t>
      </w:r>
      <w:r>
        <w:rPr>
          <w:rFonts w:cs="Calibri"/>
          <w:spacing w:val="-3"/>
        </w:rPr>
        <w:t xml:space="preserve"> </w:t>
      </w:r>
      <w:r>
        <w:rPr>
          <w:rFonts w:cs="Calibri"/>
          <w:spacing w:val="-1"/>
        </w:rPr>
        <w:t>use</w:t>
      </w:r>
      <w:r>
        <w:rPr>
          <w:rFonts w:cs="Calibri"/>
          <w:spacing w:val="-2"/>
        </w:rPr>
        <w:t xml:space="preserve"> </w:t>
      </w:r>
      <w:r>
        <w:rPr>
          <w:rFonts w:cs="Calibri"/>
        </w:rPr>
        <w:t>to</w:t>
      </w:r>
      <w:r>
        <w:rPr>
          <w:rFonts w:cs="Calibri"/>
          <w:spacing w:val="-3"/>
        </w:rPr>
        <w:t xml:space="preserve"> </w:t>
      </w:r>
      <w:r>
        <w:rPr>
          <w:rFonts w:cs="Calibri"/>
          <w:spacing w:val="-1"/>
        </w:rPr>
        <w:t>select</w:t>
      </w:r>
      <w:r>
        <w:rPr>
          <w:rFonts w:cs="Calibri"/>
          <w:spacing w:val="-2"/>
        </w:rPr>
        <w:t xml:space="preserve"> </w:t>
      </w:r>
      <w:r>
        <w:rPr>
          <w:rFonts w:cs="Calibri"/>
          <w:spacing w:val="-1"/>
        </w:rPr>
        <w:t xml:space="preserve">applications submitted by eligible recipients.  </w:t>
      </w:r>
    </w:p>
    <w:p w14:paraId="09EC15A9" w14:textId="77777777" w:rsidR="00171C5D" w:rsidRDefault="00171C5D">
      <w:pPr>
        <w:widowControl w:val="0"/>
        <w:spacing w:after="0" w:line="240" w:lineRule="auto"/>
        <w:rPr>
          <w:rFonts w:cs="Calibri"/>
        </w:rPr>
      </w:pPr>
    </w:p>
    <w:p w14:paraId="4107AFAA" w14:textId="77777777" w:rsidR="00171C5D" w:rsidRDefault="00171C5D">
      <w:pPr>
        <w:widowControl w:val="0"/>
        <w:spacing w:after="0" w:line="240" w:lineRule="auto"/>
        <w:rPr>
          <w:rFonts w:cs="Arial"/>
        </w:rPr>
      </w:pPr>
    </w:p>
    <w:p w14:paraId="5EEADA3B" w14:textId="77777777" w:rsidR="00171C5D" w:rsidRDefault="00171C5D">
      <w:pPr>
        <w:widowControl w:val="0"/>
        <w:spacing w:after="0" w:line="240" w:lineRule="auto"/>
        <w:rPr>
          <w:rFonts w:cs="Calibri"/>
        </w:rPr>
      </w:pPr>
    </w:p>
    <w:p w14:paraId="72C30297" w14:textId="77777777" w:rsidR="00171C5D" w:rsidRDefault="00000000">
      <w:pPr>
        <w:widowControl w:val="0"/>
        <w:spacing w:after="0" w:line="240" w:lineRule="auto"/>
        <w:rPr>
          <w:rFonts w:cs="Calibri"/>
        </w:rPr>
      </w:pPr>
      <w:proofErr w:type="spellStart"/>
      <w:r>
        <w:rPr>
          <w:rFonts w:cs="Calibri"/>
        </w:rPr>
        <w:t>d.</w:t>
      </w:r>
      <w:proofErr w:type="spellEnd"/>
      <w:r>
        <w:rPr>
          <w:rFonts w:cs="Calibri"/>
        </w:rPr>
        <w:t xml:space="preserve"> Describe the </w:t>
      </w:r>
      <w:r>
        <w:rPr>
          <w:rFonts w:eastAsia="Cambria" w:cs="Calibri"/>
        </w:rPr>
        <w:t xml:space="preserve">jurisdiction’s </w:t>
      </w:r>
      <w:r>
        <w:rPr>
          <w:rFonts w:cs="Calibri"/>
        </w:rPr>
        <w:t xml:space="preserve">required priority for funding based on geographic distribution, which is a description of the geographic areas of the State (including areas of low-income and minority concentration) in which it will direct assistance during the ensuing program year.  </w:t>
      </w:r>
    </w:p>
    <w:p w14:paraId="3E47500B" w14:textId="77777777" w:rsidR="00171C5D" w:rsidRDefault="00171C5D">
      <w:pPr>
        <w:widowControl w:val="0"/>
        <w:spacing w:after="0" w:line="240" w:lineRule="auto"/>
        <w:rPr>
          <w:rFonts w:cs="Calibri"/>
        </w:rPr>
      </w:pPr>
    </w:p>
    <w:p w14:paraId="50D69322" w14:textId="77777777" w:rsidR="00171C5D" w:rsidRDefault="00171C5D">
      <w:pPr>
        <w:rPr>
          <w:rFonts w:cs="Arial"/>
        </w:rPr>
      </w:pPr>
    </w:p>
    <w:p w14:paraId="52D750B9" w14:textId="77777777" w:rsidR="00171C5D" w:rsidRDefault="00171C5D">
      <w:pPr>
        <w:widowControl w:val="0"/>
        <w:spacing w:after="0" w:line="240" w:lineRule="auto"/>
        <w:rPr>
          <w:rFonts w:cs="Calibri"/>
        </w:rPr>
      </w:pPr>
    </w:p>
    <w:p w14:paraId="2940AD17" w14:textId="77777777" w:rsidR="00171C5D" w:rsidRDefault="00000000">
      <w:pPr>
        <w:widowControl w:val="0"/>
        <w:spacing w:after="0" w:line="240" w:lineRule="auto"/>
        <w:rPr>
          <w:rFonts w:cs="Calibri"/>
        </w:rPr>
      </w:pPr>
      <w:r>
        <w:rPr>
          <w:rFonts w:cs="Calibri"/>
        </w:rPr>
        <w:t xml:space="preserve">e. Describe the </w:t>
      </w:r>
      <w:r>
        <w:rPr>
          <w:rFonts w:eastAsia="Cambria" w:cs="Calibri"/>
        </w:rPr>
        <w:t>jurisdiction’s</w:t>
      </w:r>
      <w:r>
        <w:rPr>
          <w:rFonts w:cs="Calibri"/>
        </w:rPr>
        <w:t xml:space="preserve"> required priority for funding based on the applicant's ability to obligate HTF funds and undertake eligible activities in a timely manner.  </w:t>
      </w:r>
    </w:p>
    <w:p w14:paraId="313D03B4" w14:textId="77777777" w:rsidR="00171C5D" w:rsidRDefault="00171C5D">
      <w:pPr>
        <w:rPr>
          <w:rFonts w:cs="Arial"/>
        </w:rPr>
      </w:pPr>
    </w:p>
    <w:p w14:paraId="0CC3DAA6" w14:textId="77777777" w:rsidR="00171C5D" w:rsidRDefault="00171C5D">
      <w:pPr>
        <w:widowControl w:val="0"/>
        <w:spacing w:after="0" w:line="240" w:lineRule="auto"/>
        <w:rPr>
          <w:rFonts w:cs="Calibri"/>
        </w:rPr>
      </w:pPr>
    </w:p>
    <w:p w14:paraId="50A7C601" w14:textId="77777777" w:rsidR="00171C5D" w:rsidRDefault="00171C5D">
      <w:pPr>
        <w:widowControl w:val="0"/>
        <w:spacing w:after="0" w:line="240" w:lineRule="auto"/>
        <w:rPr>
          <w:rFonts w:cs="Calibri"/>
        </w:rPr>
      </w:pPr>
    </w:p>
    <w:p w14:paraId="4F63FAF1" w14:textId="77777777" w:rsidR="00171C5D" w:rsidRDefault="00000000">
      <w:pPr>
        <w:widowControl w:val="0"/>
        <w:spacing w:after="0" w:line="240" w:lineRule="auto"/>
        <w:rPr>
          <w:rFonts w:cs="Calibri"/>
        </w:rPr>
      </w:pPr>
      <w:r>
        <w:rPr>
          <w:rFonts w:cs="Calibri"/>
        </w:rPr>
        <w:t xml:space="preserve">f. Describe the </w:t>
      </w:r>
      <w:r>
        <w:rPr>
          <w:rFonts w:eastAsia="Cambria" w:cs="Calibri"/>
        </w:rPr>
        <w:t>jurisdiction’s</w:t>
      </w:r>
      <w:r>
        <w:rPr>
          <w:rFonts w:cs="Calibri"/>
        </w:rPr>
        <w:t xml:space="preserve"> required priority for funding based on the extent to which rents for units in the rental project are affordable to extremely low-income families.  </w:t>
      </w:r>
    </w:p>
    <w:p w14:paraId="499EBC94" w14:textId="77777777" w:rsidR="00171C5D" w:rsidRDefault="00171C5D">
      <w:pPr>
        <w:widowControl w:val="0"/>
        <w:spacing w:after="0" w:line="240" w:lineRule="auto"/>
        <w:rPr>
          <w:rFonts w:cs="Calibri"/>
        </w:rPr>
      </w:pPr>
    </w:p>
    <w:p w14:paraId="69B5491D" w14:textId="77777777" w:rsidR="00171C5D" w:rsidRDefault="00171C5D">
      <w:pPr>
        <w:widowControl w:val="0"/>
        <w:spacing w:after="0" w:line="240" w:lineRule="auto"/>
        <w:rPr>
          <w:rFonts w:cs="Calibri"/>
        </w:rPr>
      </w:pPr>
    </w:p>
    <w:p w14:paraId="6AC2C515" w14:textId="77777777" w:rsidR="00171C5D" w:rsidRDefault="00171C5D">
      <w:pPr>
        <w:widowControl w:val="0"/>
        <w:spacing w:after="0" w:line="240" w:lineRule="auto"/>
        <w:rPr>
          <w:rFonts w:cs="Calibri"/>
        </w:rPr>
      </w:pPr>
    </w:p>
    <w:p w14:paraId="4D0FB7E1" w14:textId="77777777" w:rsidR="00171C5D" w:rsidRDefault="00000000">
      <w:pPr>
        <w:widowControl w:val="0"/>
        <w:spacing w:after="0" w:line="240" w:lineRule="auto"/>
        <w:rPr>
          <w:rFonts w:cs="Calibri"/>
        </w:rPr>
      </w:pPr>
      <w:r>
        <w:rPr>
          <w:rFonts w:cs="Calibri"/>
        </w:rPr>
        <w:t xml:space="preserve">g. Describe the </w:t>
      </w:r>
      <w:r>
        <w:rPr>
          <w:rFonts w:eastAsia="Cambria" w:cs="Calibri"/>
        </w:rPr>
        <w:t>jurisdiction’s</w:t>
      </w:r>
      <w:r>
        <w:rPr>
          <w:rFonts w:cs="Calibri"/>
        </w:rPr>
        <w:t xml:space="preserve"> required priority for funding based on the financial feasibility of the project beyond the required 30-year period.  </w:t>
      </w:r>
    </w:p>
    <w:p w14:paraId="6F0E193D" w14:textId="77777777" w:rsidR="00171C5D" w:rsidRDefault="00171C5D">
      <w:pPr>
        <w:widowControl w:val="0"/>
        <w:spacing w:after="0" w:line="240" w:lineRule="auto"/>
        <w:rPr>
          <w:rFonts w:cs="Calibri"/>
        </w:rPr>
      </w:pPr>
    </w:p>
    <w:p w14:paraId="0AEB2596" w14:textId="77777777" w:rsidR="00171C5D" w:rsidRDefault="00171C5D">
      <w:pPr>
        <w:widowControl w:val="0"/>
        <w:spacing w:after="0" w:line="240" w:lineRule="auto"/>
        <w:rPr>
          <w:rFonts w:cs="Calibri"/>
        </w:rPr>
      </w:pPr>
    </w:p>
    <w:p w14:paraId="7A0D98AC" w14:textId="77777777" w:rsidR="00171C5D" w:rsidRDefault="00171C5D">
      <w:pPr>
        <w:widowControl w:val="0"/>
        <w:spacing w:after="0" w:line="240" w:lineRule="auto"/>
        <w:rPr>
          <w:rFonts w:cs="Calibri"/>
        </w:rPr>
      </w:pPr>
    </w:p>
    <w:p w14:paraId="76A6ECA0" w14:textId="77777777" w:rsidR="00171C5D" w:rsidRDefault="00000000">
      <w:pPr>
        <w:widowControl w:val="0"/>
        <w:spacing w:after="0" w:line="240" w:lineRule="auto"/>
        <w:rPr>
          <w:rFonts w:cs="Calibri"/>
        </w:rPr>
      </w:pPr>
      <w:r>
        <w:rPr>
          <w:rFonts w:cs="Calibri"/>
        </w:rPr>
        <w:t xml:space="preserve">h. Describe the </w:t>
      </w:r>
      <w:r>
        <w:rPr>
          <w:rFonts w:eastAsia="Cambria" w:cs="Calibri"/>
        </w:rPr>
        <w:t>jurisdiction’s</w:t>
      </w:r>
      <w:r>
        <w:rPr>
          <w:rFonts w:cs="Calibri"/>
        </w:rPr>
        <w:t xml:space="preserve"> required priority for funding based on the merits of the application in meeting the priority housing needs of the jurisdiction (such as housing that is accessible to transit or employment centers, housing that includes green building and sustainable development features, or housing that serves special needs populations).  </w:t>
      </w:r>
    </w:p>
    <w:p w14:paraId="7CD0B6EC" w14:textId="77777777" w:rsidR="00171C5D" w:rsidRDefault="00171C5D">
      <w:pPr>
        <w:widowControl w:val="0"/>
        <w:spacing w:after="0" w:line="240" w:lineRule="auto"/>
        <w:rPr>
          <w:rFonts w:cs="Calibri"/>
        </w:rPr>
      </w:pPr>
    </w:p>
    <w:p w14:paraId="6E06853A" w14:textId="77777777" w:rsidR="00171C5D" w:rsidRDefault="00171C5D">
      <w:pPr>
        <w:widowControl w:val="0"/>
        <w:spacing w:after="0" w:line="240" w:lineRule="auto"/>
        <w:rPr>
          <w:rFonts w:cs="Calibri"/>
        </w:rPr>
      </w:pPr>
    </w:p>
    <w:p w14:paraId="0B31E7E7" w14:textId="77777777" w:rsidR="00171C5D" w:rsidRDefault="00171C5D">
      <w:pPr>
        <w:widowControl w:val="0"/>
        <w:spacing w:after="0" w:line="240" w:lineRule="auto"/>
        <w:rPr>
          <w:rFonts w:cs="Calibri"/>
        </w:rPr>
      </w:pPr>
    </w:p>
    <w:p w14:paraId="149A36B4" w14:textId="77777777" w:rsidR="00171C5D" w:rsidRDefault="00000000">
      <w:pPr>
        <w:widowControl w:val="0"/>
        <w:spacing w:after="0" w:line="240" w:lineRule="auto"/>
        <w:rPr>
          <w:rFonts w:cs="Calibri"/>
          <w:spacing w:val="-1"/>
        </w:rPr>
      </w:pPr>
      <w:r>
        <w:rPr>
          <w:rFonts w:cs="Calibri"/>
        </w:rPr>
        <w:t xml:space="preserve">i. Describe the </w:t>
      </w:r>
      <w:r>
        <w:rPr>
          <w:rFonts w:eastAsia="Cambria" w:cs="Calibri"/>
        </w:rPr>
        <w:t>jurisdiction’s</w:t>
      </w:r>
      <w:r>
        <w:rPr>
          <w:rFonts w:cs="Calibri"/>
        </w:rPr>
        <w:t xml:space="preserve"> required priority for funding based on the location of existing affordable housing.  </w:t>
      </w:r>
    </w:p>
    <w:p w14:paraId="7B314A30" w14:textId="77777777" w:rsidR="00171C5D" w:rsidRDefault="00171C5D">
      <w:pPr>
        <w:widowControl w:val="0"/>
        <w:spacing w:after="0" w:line="240" w:lineRule="auto"/>
        <w:rPr>
          <w:rFonts w:cs="Calibri"/>
          <w:spacing w:val="-1"/>
        </w:rPr>
      </w:pPr>
    </w:p>
    <w:p w14:paraId="2CF8197C" w14:textId="77777777" w:rsidR="00171C5D" w:rsidRDefault="00171C5D">
      <w:pPr>
        <w:widowControl w:val="0"/>
        <w:spacing w:after="0" w:line="240" w:lineRule="auto"/>
        <w:rPr>
          <w:rFonts w:cs="Calibri"/>
          <w:spacing w:val="-1"/>
        </w:rPr>
      </w:pPr>
    </w:p>
    <w:p w14:paraId="44F6823D" w14:textId="77777777" w:rsidR="00171C5D" w:rsidRDefault="00171C5D">
      <w:pPr>
        <w:widowControl w:val="0"/>
        <w:spacing w:after="0" w:line="240" w:lineRule="auto"/>
        <w:rPr>
          <w:rFonts w:cs="Calibri"/>
          <w:spacing w:val="-1"/>
        </w:rPr>
      </w:pPr>
    </w:p>
    <w:p w14:paraId="3FEF2FFB" w14:textId="77777777" w:rsidR="00171C5D" w:rsidRDefault="00000000">
      <w:pPr>
        <w:widowControl w:val="0"/>
        <w:spacing w:after="0" w:line="240" w:lineRule="auto"/>
        <w:rPr>
          <w:rFonts w:cs="Calibri"/>
        </w:rPr>
      </w:pPr>
      <w:r>
        <w:rPr>
          <w:rFonts w:cs="Calibri"/>
        </w:rPr>
        <w:t xml:space="preserve">j. Describe the </w:t>
      </w:r>
      <w:r>
        <w:rPr>
          <w:rFonts w:eastAsia="Cambria" w:cs="Calibri"/>
        </w:rPr>
        <w:t>jurisdiction’s</w:t>
      </w:r>
      <w:r>
        <w:rPr>
          <w:rFonts w:cs="Calibri"/>
        </w:rPr>
        <w:t xml:space="preserve"> required priority for funding based on the extent to which the application makes use of non-federal funding sources.  </w:t>
      </w:r>
    </w:p>
    <w:p w14:paraId="56109782" w14:textId="77777777" w:rsidR="00171C5D" w:rsidRDefault="00171C5D">
      <w:pPr>
        <w:widowControl w:val="0"/>
        <w:spacing w:after="0" w:line="240" w:lineRule="auto"/>
        <w:rPr>
          <w:rFonts w:cs="Calibri"/>
        </w:rPr>
      </w:pPr>
    </w:p>
    <w:p w14:paraId="55914292" w14:textId="77777777" w:rsidR="00171C5D" w:rsidRDefault="00171C5D">
      <w:pPr>
        <w:widowControl w:val="0"/>
        <w:spacing w:after="0" w:line="240" w:lineRule="auto"/>
        <w:rPr>
          <w:rFonts w:cs="Calibri"/>
        </w:rPr>
      </w:pPr>
    </w:p>
    <w:p w14:paraId="40B3CDE8" w14:textId="77777777" w:rsidR="00171C5D" w:rsidRDefault="00171C5D">
      <w:pPr>
        <w:widowControl w:val="0"/>
        <w:spacing w:after="0" w:line="240" w:lineRule="auto"/>
        <w:rPr>
          <w:rFonts w:cs="Calibri"/>
        </w:rPr>
      </w:pPr>
    </w:p>
    <w:p w14:paraId="4CEF0237" w14:textId="77777777" w:rsidR="00171C5D" w:rsidRDefault="00000000">
      <w:pPr>
        <w:widowControl w:val="0"/>
        <w:spacing w:after="0" w:line="240" w:lineRule="auto"/>
        <w:rPr>
          <w:rFonts w:cs="Calibri"/>
        </w:rPr>
      </w:pPr>
      <w:r>
        <w:rPr>
          <w:rFonts w:cs="Calibri"/>
          <w:spacing w:val="-1"/>
        </w:rPr>
        <w:t xml:space="preserve">2. Does the </w:t>
      </w:r>
      <w:r>
        <w:rPr>
          <w:rFonts w:eastAsia="Cambria" w:cs="Calibri"/>
        </w:rPr>
        <w:t>jurisdiction’s</w:t>
      </w:r>
      <w:r>
        <w:rPr>
          <w:rFonts w:cs="Calibri"/>
        </w:rPr>
        <w:t xml:space="preserve"> </w:t>
      </w:r>
      <w:r>
        <w:rPr>
          <w:rFonts w:cs="Calibri"/>
          <w:spacing w:val="-1"/>
        </w:rPr>
        <w:t xml:space="preserve">application require the applicant to include </w:t>
      </w:r>
      <w:r>
        <w:rPr>
          <w:rFonts w:cs="Calibri"/>
        </w:rPr>
        <w:t>a</w:t>
      </w:r>
      <w:r>
        <w:rPr>
          <w:rFonts w:cs="Calibri"/>
          <w:spacing w:val="43"/>
        </w:rPr>
        <w:t xml:space="preserve"> </w:t>
      </w:r>
      <w:r>
        <w:rPr>
          <w:rFonts w:cs="Calibri"/>
          <w:spacing w:val="-1"/>
        </w:rPr>
        <w:t>description</w:t>
      </w:r>
      <w:r>
        <w:rPr>
          <w:rFonts w:cs="Calibri"/>
          <w:spacing w:val="45"/>
        </w:rPr>
        <w:t xml:space="preserve"> </w:t>
      </w:r>
      <w:r>
        <w:rPr>
          <w:rFonts w:cs="Calibri"/>
          <w:spacing w:val="-1"/>
        </w:rPr>
        <w:t>of</w:t>
      </w:r>
      <w:r>
        <w:rPr>
          <w:rFonts w:cs="Calibri"/>
          <w:spacing w:val="44"/>
        </w:rPr>
        <w:t xml:space="preserve"> </w:t>
      </w:r>
      <w:r>
        <w:rPr>
          <w:rFonts w:cs="Calibri"/>
          <w:spacing w:val="-1"/>
        </w:rPr>
        <w:t>the</w:t>
      </w:r>
      <w:r>
        <w:rPr>
          <w:rFonts w:cs="Calibri"/>
          <w:spacing w:val="75"/>
          <w:w w:val="99"/>
        </w:rPr>
        <w:t xml:space="preserve"> </w:t>
      </w:r>
      <w:r>
        <w:rPr>
          <w:rFonts w:cs="Calibri"/>
          <w:spacing w:val="-1"/>
        </w:rPr>
        <w:t>eligible</w:t>
      </w:r>
      <w:r>
        <w:rPr>
          <w:rFonts w:cs="Calibri"/>
          <w:spacing w:val="18"/>
        </w:rPr>
        <w:t xml:space="preserve"> </w:t>
      </w:r>
      <w:r>
        <w:rPr>
          <w:rFonts w:cs="Calibri"/>
          <w:spacing w:val="-1"/>
        </w:rPr>
        <w:t>activities</w:t>
      </w:r>
      <w:r>
        <w:rPr>
          <w:rFonts w:cs="Calibri"/>
          <w:spacing w:val="16"/>
        </w:rPr>
        <w:t xml:space="preserve"> </w:t>
      </w:r>
      <w:r>
        <w:rPr>
          <w:rFonts w:cs="Calibri"/>
        </w:rPr>
        <w:t>to</w:t>
      </w:r>
      <w:r>
        <w:rPr>
          <w:rFonts w:cs="Calibri"/>
          <w:spacing w:val="17"/>
        </w:rPr>
        <w:t xml:space="preserve"> </w:t>
      </w:r>
      <w:r>
        <w:rPr>
          <w:rFonts w:cs="Calibri"/>
        </w:rPr>
        <w:t>be</w:t>
      </w:r>
      <w:r>
        <w:rPr>
          <w:rFonts w:cs="Calibri"/>
          <w:spacing w:val="14"/>
        </w:rPr>
        <w:t xml:space="preserve"> </w:t>
      </w:r>
      <w:r>
        <w:rPr>
          <w:rFonts w:cs="Calibri"/>
          <w:spacing w:val="-1"/>
        </w:rPr>
        <w:t>conducted</w:t>
      </w:r>
      <w:r>
        <w:rPr>
          <w:rFonts w:cs="Calibri"/>
          <w:spacing w:val="17"/>
        </w:rPr>
        <w:t xml:space="preserve"> </w:t>
      </w:r>
      <w:r>
        <w:rPr>
          <w:rFonts w:cs="Calibri"/>
          <w:spacing w:val="-1"/>
        </w:rPr>
        <w:t>with</w:t>
      </w:r>
      <w:r>
        <w:rPr>
          <w:rFonts w:cs="Calibri"/>
          <w:spacing w:val="18"/>
        </w:rPr>
        <w:t xml:space="preserve"> </w:t>
      </w:r>
      <w:r>
        <w:rPr>
          <w:rFonts w:cs="Calibri"/>
          <w:spacing w:val="-1"/>
        </w:rPr>
        <w:t>HTF</w:t>
      </w:r>
      <w:r>
        <w:rPr>
          <w:rFonts w:cs="Calibri"/>
          <w:spacing w:val="18"/>
        </w:rPr>
        <w:t xml:space="preserve"> </w:t>
      </w:r>
      <w:r>
        <w:rPr>
          <w:rFonts w:cs="Calibri"/>
          <w:spacing w:val="-1"/>
        </w:rPr>
        <w:t xml:space="preserve">funds?    </w:t>
      </w:r>
    </w:p>
    <w:p w14:paraId="0834D605" w14:textId="77777777" w:rsidR="00171C5D" w:rsidRDefault="00171C5D">
      <w:pPr>
        <w:widowControl w:val="0"/>
        <w:spacing w:after="0" w:line="240" w:lineRule="auto"/>
        <w:rPr>
          <w:rFonts w:cs="Calibri"/>
          <w:spacing w:val="-1"/>
        </w:rPr>
      </w:pPr>
    </w:p>
    <w:p w14:paraId="6E032FB7" w14:textId="77777777" w:rsidR="00171C5D" w:rsidRDefault="00171C5D">
      <w:pPr>
        <w:widowControl w:val="0"/>
        <w:spacing w:after="0" w:line="240" w:lineRule="auto"/>
        <w:rPr>
          <w:rFonts w:cs="Calibri"/>
          <w:spacing w:val="-1"/>
        </w:rPr>
      </w:pPr>
    </w:p>
    <w:p w14:paraId="0B4A7EA3" w14:textId="77777777" w:rsidR="00171C5D" w:rsidRDefault="00000000">
      <w:pPr>
        <w:widowControl w:val="0"/>
        <w:spacing w:after="0" w:line="240" w:lineRule="auto"/>
        <w:rPr>
          <w:rFonts w:cs="Calibri"/>
          <w:spacing w:val="-1"/>
        </w:rPr>
      </w:pPr>
      <w:r>
        <w:rPr>
          <w:rFonts w:cs="Calibri"/>
          <w:spacing w:val="-1"/>
        </w:rPr>
        <w:t xml:space="preserve">3. Does the </w:t>
      </w:r>
      <w:r>
        <w:rPr>
          <w:rFonts w:eastAsia="Cambria" w:cs="Calibri"/>
        </w:rPr>
        <w:t>jurisdiction’s</w:t>
      </w:r>
      <w:r>
        <w:rPr>
          <w:rFonts w:cs="Calibri"/>
        </w:rPr>
        <w:t xml:space="preserve"> </w:t>
      </w:r>
      <w:r>
        <w:rPr>
          <w:rFonts w:cs="Calibri"/>
          <w:spacing w:val="-1"/>
        </w:rPr>
        <w:t xml:space="preserve">application require that each eligible recipient certify that housing units assisted with HTF funds will comply with HTF requirements?  </w:t>
      </w:r>
    </w:p>
    <w:p w14:paraId="43E8F022" w14:textId="77777777" w:rsidR="00171C5D" w:rsidRDefault="00171C5D">
      <w:pPr>
        <w:widowControl w:val="0"/>
        <w:spacing w:after="0" w:line="240" w:lineRule="auto"/>
        <w:rPr>
          <w:rFonts w:cs="Calibri"/>
          <w:spacing w:val="-1"/>
        </w:rPr>
      </w:pPr>
    </w:p>
    <w:p w14:paraId="5A5115AD" w14:textId="77777777" w:rsidR="00171C5D" w:rsidRDefault="00171C5D">
      <w:pPr>
        <w:widowControl w:val="0"/>
        <w:spacing w:after="0" w:line="240" w:lineRule="auto"/>
        <w:ind w:left="360"/>
        <w:rPr>
          <w:rFonts w:cs="Calibri"/>
          <w:spacing w:val="-1"/>
        </w:rPr>
      </w:pPr>
    </w:p>
    <w:p w14:paraId="73B97911" w14:textId="77777777" w:rsidR="00171C5D" w:rsidRDefault="00000000">
      <w:pPr>
        <w:widowControl w:val="0"/>
        <w:spacing w:after="0" w:line="240" w:lineRule="auto"/>
        <w:rPr>
          <w:rFonts w:cs="Calibri"/>
          <w:spacing w:val="-1"/>
        </w:rPr>
      </w:pPr>
      <w:r>
        <w:rPr>
          <w:rFonts w:cs="Calibri"/>
          <w:spacing w:val="-1"/>
        </w:rPr>
        <w:t xml:space="preserve">4. </w:t>
      </w:r>
      <w:r>
        <w:rPr>
          <w:rFonts w:cs="Calibri"/>
          <w:b/>
          <w:spacing w:val="-1"/>
        </w:rPr>
        <w:t>Performance Goals and Benchmarks.</w:t>
      </w:r>
      <w:r>
        <w:rPr>
          <w:rFonts w:cs="Calibri"/>
          <w:spacing w:val="-1"/>
        </w:rPr>
        <w:t xml:space="preserve">  The </w:t>
      </w:r>
      <w:r>
        <w:rPr>
          <w:rFonts w:eastAsia="Cambria" w:cs="Calibri"/>
        </w:rPr>
        <w:t xml:space="preserve">jurisdiction </w:t>
      </w:r>
      <w:r>
        <w:rPr>
          <w:rFonts w:cs="Calibri"/>
          <w:spacing w:val="-1"/>
        </w:rPr>
        <w:t xml:space="preserve">has met the requirement to </w:t>
      </w:r>
      <w:proofErr w:type="gramStart"/>
      <w:r>
        <w:rPr>
          <w:rFonts w:cs="Calibri"/>
          <w:spacing w:val="-1"/>
        </w:rPr>
        <w:t>provide for</w:t>
      </w:r>
      <w:proofErr w:type="gramEnd"/>
      <w:r>
        <w:rPr>
          <w:rFonts w:cs="Calibri"/>
          <w:spacing w:val="-1"/>
        </w:rPr>
        <w:t xml:space="preserve"> performance goals, consistent with the jurisdiction’s goals established under 24 CFR 91.215(b)(2), by including HTF in its housing goals in the housing table on the SP-45 Goals and AP-20 Annual Goals and Objectives screens.  </w:t>
      </w:r>
    </w:p>
    <w:p w14:paraId="2D667E9B" w14:textId="77777777" w:rsidR="00171C5D" w:rsidRDefault="00171C5D">
      <w:pPr>
        <w:widowControl w:val="0"/>
        <w:spacing w:after="0" w:line="240" w:lineRule="auto"/>
        <w:rPr>
          <w:rFonts w:cs="Calibri"/>
          <w:spacing w:val="-1"/>
        </w:rPr>
      </w:pPr>
    </w:p>
    <w:p w14:paraId="5013DCD8" w14:textId="77777777" w:rsidR="00171C5D" w:rsidRDefault="00171C5D">
      <w:pPr>
        <w:widowControl w:val="0"/>
        <w:spacing w:after="0" w:line="240" w:lineRule="auto"/>
        <w:rPr>
          <w:rFonts w:cs="Calibri"/>
        </w:rPr>
      </w:pPr>
    </w:p>
    <w:p w14:paraId="250C30D3" w14:textId="77777777" w:rsidR="00171C5D" w:rsidRDefault="00000000">
      <w:pPr>
        <w:widowControl w:val="0"/>
        <w:spacing w:after="0" w:line="240" w:lineRule="auto"/>
        <w:rPr>
          <w:rFonts w:eastAsia="Cambria" w:cs="Calibri"/>
          <w:spacing w:val="-1"/>
        </w:rPr>
      </w:pPr>
      <w:r>
        <w:rPr>
          <w:rFonts w:eastAsia="Cambria" w:cs="Calibri"/>
          <w:spacing w:val="-1"/>
        </w:rPr>
        <w:t xml:space="preserve">5. </w:t>
      </w:r>
      <w:r>
        <w:rPr>
          <w:rFonts w:eastAsia="Cambria" w:cs="Calibri"/>
          <w:b/>
          <w:spacing w:val="-1"/>
        </w:rPr>
        <w:t>Rehabilitation Standards.</w:t>
      </w:r>
      <w:r>
        <w:rPr>
          <w:rFonts w:eastAsia="Cambria" w:cs="Calibri"/>
          <w:spacing w:val="-1"/>
        </w:rPr>
        <w:t xml:space="preserve">  The </w:t>
      </w:r>
      <w:r>
        <w:rPr>
          <w:rFonts w:eastAsia="Cambria" w:cs="Calibri"/>
        </w:rPr>
        <w:t>jurisdiction</w:t>
      </w:r>
      <w:r>
        <w:rPr>
          <w:rFonts w:eastAsia="Cambria" w:cs="Calibri"/>
          <w:spacing w:val="-1"/>
        </w:rPr>
        <w:t xml:space="preserve"> must establish rehabilitation standards for all HTF-assisted housing rehabilitation activities that set forth the requirements that the housing must meet upon project completion. The </w:t>
      </w:r>
      <w:r>
        <w:rPr>
          <w:rFonts w:eastAsia="Cambria" w:cs="Calibri"/>
        </w:rPr>
        <w:t>jurisdiction</w:t>
      </w:r>
      <w:r>
        <w:rPr>
          <w:rFonts w:eastAsia="Cambria" w:cs="Calibri"/>
          <w:spacing w:val="-1"/>
        </w:rPr>
        <w:t xml:space="preserve">’s description of its standards must be in sufficient detail to determine the required rehabilitation work including methods and materials.  The standards may refer to applicable codes or they may establish requirements that exceed the minimum requirements of the codes.  The </w:t>
      </w:r>
      <w:r>
        <w:rPr>
          <w:rFonts w:eastAsia="Cambria" w:cs="Calibri"/>
        </w:rPr>
        <w:t>jurisdiction</w:t>
      </w:r>
      <w:r>
        <w:rPr>
          <w:rFonts w:eastAsia="Cambria" w:cs="Calibri"/>
          <w:spacing w:val="-1"/>
        </w:rPr>
        <w:t xml:space="preserve"> must attach its rehabilitation standards below.  </w:t>
      </w:r>
      <w:r>
        <w:rPr>
          <w:rFonts w:cs="Calibri"/>
        </w:rPr>
        <w:t xml:space="preserve">If the </w:t>
      </w:r>
      <w:r>
        <w:rPr>
          <w:rFonts w:eastAsia="Cambria" w:cs="Calibri"/>
          <w:spacing w:val="-1"/>
        </w:rPr>
        <w:t>jurisdiction</w:t>
      </w:r>
      <w:r>
        <w:rPr>
          <w:rFonts w:cs="Calibri"/>
        </w:rPr>
        <w:t xml:space="preserve"> will not use HTF funds for the rehabilitation of housing, enter “</w:t>
      </w:r>
      <w:r>
        <w:rPr>
          <w:rFonts w:cs="Calibri"/>
          <w:spacing w:val="-1"/>
        </w:rPr>
        <w:t xml:space="preserve">N/A”. </w:t>
      </w:r>
    </w:p>
    <w:p w14:paraId="5FB9C6C6" w14:textId="77777777" w:rsidR="00171C5D" w:rsidRDefault="00171C5D">
      <w:pPr>
        <w:widowControl w:val="0"/>
        <w:spacing w:after="0" w:line="240" w:lineRule="auto"/>
        <w:rPr>
          <w:rFonts w:eastAsia="Cambria" w:cs="Calibri"/>
          <w:spacing w:val="-1"/>
        </w:rPr>
      </w:pPr>
    </w:p>
    <w:p w14:paraId="750B75A4" w14:textId="77777777" w:rsidR="00171C5D" w:rsidRDefault="00000000">
      <w:pPr>
        <w:widowControl w:val="0"/>
        <w:spacing w:after="0" w:line="240" w:lineRule="auto"/>
        <w:rPr>
          <w:rFonts w:eastAsia="Cambria" w:cs="Calibri"/>
          <w:spacing w:val="-1"/>
        </w:rPr>
      </w:pPr>
      <w:r>
        <w:rPr>
          <w:rFonts w:eastAsia="Cambria" w:cs="Calibri"/>
          <w:spacing w:val="-1"/>
        </w:rPr>
        <w:t xml:space="preserve">In addition, the rehabilitation standards must address each of the following: health and safety; major </w:t>
      </w:r>
      <w:r>
        <w:rPr>
          <w:rFonts w:eastAsia="Cambria" w:cs="Calibri"/>
          <w:spacing w:val="-1"/>
        </w:rPr>
        <w:lastRenderedPageBreak/>
        <w:t>systems; lead-based paint; accessibility; disaster mitigation (where relevant); state and local codes, ordinances, and zoning requirements; Uniform Physical Condition Standards; Capital Needs Assessments (if applicable); and broadband infrastructure (if applicable).</w:t>
      </w:r>
    </w:p>
    <w:p w14:paraId="53ACFB01" w14:textId="77777777" w:rsidR="00171C5D" w:rsidRDefault="00171C5D">
      <w:pPr>
        <w:widowControl w:val="0"/>
        <w:spacing w:after="0" w:line="240" w:lineRule="auto"/>
        <w:rPr>
          <w:rFonts w:eastAsia="Cambria" w:cs="Calibri"/>
          <w:spacing w:val="-1"/>
        </w:rPr>
      </w:pPr>
    </w:p>
    <w:p w14:paraId="2E263AE4" w14:textId="77777777" w:rsidR="00171C5D" w:rsidRDefault="00171C5D">
      <w:pPr>
        <w:rPr>
          <w:rFonts w:cs="Arial"/>
        </w:rPr>
      </w:pPr>
    </w:p>
    <w:p w14:paraId="0BAE1B64" w14:textId="77777777" w:rsidR="00171C5D" w:rsidRDefault="00000000">
      <w:pPr>
        <w:widowControl w:val="0"/>
        <w:spacing w:after="0" w:line="240" w:lineRule="auto"/>
        <w:rPr>
          <w:rFonts w:eastAsia="Times New Roman" w:cs="Calibri"/>
        </w:rPr>
      </w:pPr>
      <w:r>
        <w:rPr>
          <w:rFonts w:cs="Calibri"/>
        </w:rPr>
        <w:tab/>
      </w:r>
    </w:p>
    <w:p w14:paraId="315D87A6" w14:textId="77777777" w:rsidR="00171C5D" w:rsidRDefault="00171C5D">
      <w:pPr>
        <w:widowControl w:val="0"/>
        <w:spacing w:after="0" w:line="240" w:lineRule="auto"/>
        <w:rPr>
          <w:rFonts w:eastAsia="Cambria" w:cs="Calibri"/>
          <w:bCs/>
          <w:spacing w:val="8"/>
          <w:highlight w:val="yellow"/>
        </w:rPr>
      </w:pPr>
    </w:p>
    <w:p w14:paraId="6C29A73F" w14:textId="77777777" w:rsidR="00171C5D" w:rsidRDefault="00000000">
      <w:pPr>
        <w:widowControl w:val="0"/>
        <w:spacing w:after="0" w:line="240" w:lineRule="auto"/>
        <w:rPr>
          <w:rFonts w:cs="Calibri"/>
        </w:rPr>
      </w:pPr>
      <w:r>
        <w:rPr>
          <w:rFonts w:cs="Calibri"/>
        </w:rPr>
        <w:t xml:space="preserve">6. </w:t>
      </w:r>
      <w:r>
        <w:rPr>
          <w:rFonts w:cs="Calibri"/>
          <w:b/>
        </w:rPr>
        <w:t>Resale or Recapture Guidelines.</w:t>
      </w:r>
      <w:r>
        <w:rPr>
          <w:rFonts w:cs="Calibri"/>
        </w:rPr>
        <w:t xml:space="preserve">  Below, the </w:t>
      </w:r>
      <w:r>
        <w:rPr>
          <w:rFonts w:eastAsia="Cambria" w:cs="Calibri"/>
          <w:spacing w:val="-1"/>
        </w:rPr>
        <w:t>jurisdiction</w:t>
      </w:r>
      <w:r>
        <w:rPr>
          <w:rFonts w:cs="Calibri"/>
        </w:rPr>
        <w:t xml:space="preserve"> must enter (or attach) a description of the guidelines that will be used for resale or recapture of HTF funds when used to assist first-time homebuyers.  If the </w:t>
      </w:r>
      <w:r>
        <w:rPr>
          <w:rFonts w:eastAsia="Cambria" w:cs="Calibri"/>
          <w:spacing w:val="-1"/>
        </w:rPr>
        <w:t>jurisdiction</w:t>
      </w:r>
      <w:r>
        <w:rPr>
          <w:rFonts w:cs="Calibri"/>
        </w:rPr>
        <w:t xml:space="preserve"> will not use HTF funds to assist first-time homebuyers, enter “</w:t>
      </w:r>
      <w:r>
        <w:rPr>
          <w:rFonts w:cs="Calibri"/>
          <w:spacing w:val="-1"/>
        </w:rPr>
        <w:t>N/A”.</w:t>
      </w:r>
      <w:r>
        <w:rPr>
          <w:rFonts w:cs="Calibri"/>
        </w:rPr>
        <w:t xml:space="preserve">  </w:t>
      </w:r>
    </w:p>
    <w:p w14:paraId="150201B8" w14:textId="77777777" w:rsidR="00171C5D" w:rsidRDefault="00171C5D">
      <w:pPr>
        <w:widowControl w:val="0"/>
        <w:spacing w:after="0" w:line="240" w:lineRule="auto"/>
        <w:rPr>
          <w:rFonts w:cs="Calibri"/>
        </w:rPr>
      </w:pPr>
    </w:p>
    <w:p w14:paraId="09089DA1" w14:textId="77777777" w:rsidR="00171C5D" w:rsidRDefault="00171C5D">
      <w:pPr>
        <w:widowControl w:val="0"/>
        <w:spacing w:after="0" w:line="240" w:lineRule="auto"/>
        <w:rPr>
          <w:rFonts w:cs="Arial"/>
        </w:rPr>
      </w:pPr>
    </w:p>
    <w:p w14:paraId="2A93DC4B" w14:textId="77777777" w:rsidR="00171C5D" w:rsidRDefault="00171C5D">
      <w:pPr>
        <w:widowControl w:val="0"/>
        <w:spacing w:after="0" w:line="240" w:lineRule="auto"/>
        <w:rPr>
          <w:rFonts w:cs="Arial"/>
        </w:rPr>
      </w:pPr>
    </w:p>
    <w:p w14:paraId="0576E292" w14:textId="77777777" w:rsidR="00171C5D" w:rsidRDefault="00171C5D">
      <w:pPr>
        <w:widowControl w:val="0"/>
        <w:spacing w:after="0" w:line="240" w:lineRule="auto"/>
        <w:rPr>
          <w:rFonts w:cs="Calibri"/>
          <w:spacing w:val="-1"/>
        </w:rPr>
      </w:pPr>
    </w:p>
    <w:p w14:paraId="3CDEACCB" w14:textId="77777777" w:rsidR="00171C5D" w:rsidRDefault="00171C5D">
      <w:pPr>
        <w:widowControl w:val="0"/>
        <w:spacing w:after="0" w:line="240" w:lineRule="auto"/>
        <w:rPr>
          <w:rFonts w:cs="Calibri"/>
          <w:spacing w:val="-1"/>
        </w:rPr>
      </w:pPr>
    </w:p>
    <w:p w14:paraId="4597B299" w14:textId="77777777" w:rsidR="00171C5D" w:rsidRDefault="00000000">
      <w:pPr>
        <w:widowControl w:val="0"/>
        <w:spacing w:after="0" w:line="240" w:lineRule="auto"/>
        <w:rPr>
          <w:rFonts w:cs="Calibri"/>
        </w:rPr>
      </w:pPr>
      <w:r>
        <w:rPr>
          <w:rFonts w:eastAsia="Cambria" w:cs="Calibri"/>
          <w:bCs/>
          <w:spacing w:val="7"/>
        </w:rPr>
        <w:t xml:space="preserve">7. </w:t>
      </w:r>
      <w:r>
        <w:rPr>
          <w:rFonts w:cs="Calibri"/>
          <w:b/>
        </w:rPr>
        <w:t>HTF Affordable Homeownership Limits.</w:t>
      </w:r>
      <w:r>
        <w:rPr>
          <w:rFonts w:cs="Calibri"/>
        </w:rPr>
        <w:t xml:space="preserve">  If the </w:t>
      </w:r>
      <w:r>
        <w:rPr>
          <w:rFonts w:eastAsia="Cambria" w:cs="Calibri"/>
          <w:spacing w:val="-1"/>
        </w:rPr>
        <w:t>jurisdiction</w:t>
      </w:r>
      <w:r>
        <w:rPr>
          <w:rFonts w:cs="Calibri"/>
        </w:rPr>
        <w:t xml:space="preserve"> intends to use HTF funds for homebuyer assistance and does not use </w:t>
      </w:r>
      <w:proofErr w:type="gramStart"/>
      <w:r>
        <w:rPr>
          <w:rFonts w:cs="Calibri"/>
        </w:rPr>
        <w:t>the HTF</w:t>
      </w:r>
      <w:proofErr w:type="gramEnd"/>
      <w:r>
        <w:rPr>
          <w:rFonts w:cs="Calibri"/>
        </w:rPr>
        <w:t xml:space="preserve"> affordable homeownership limits for the area provided by HUD, it must determine 95 percent of the median area purchase price and set forth the information in accordance with §93.305.  If the </w:t>
      </w:r>
      <w:r>
        <w:rPr>
          <w:rFonts w:eastAsia="Cambria" w:cs="Calibri"/>
          <w:spacing w:val="-1"/>
        </w:rPr>
        <w:t>jurisdiction</w:t>
      </w:r>
      <w:r>
        <w:rPr>
          <w:rFonts w:cs="Calibri"/>
        </w:rPr>
        <w:t xml:space="preserve"> will not use HTF funds to assist first-time homebuyers, enter “</w:t>
      </w:r>
      <w:r>
        <w:rPr>
          <w:rFonts w:cs="Calibri"/>
          <w:spacing w:val="-1"/>
        </w:rPr>
        <w:t>N/A”.</w:t>
      </w:r>
      <w:r>
        <w:rPr>
          <w:rFonts w:cs="Calibri"/>
        </w:rPr>
        <w:t xml:space="preserve">    </w:t>
      </w:r>
    </w:p>
    <w:p w14:paraId="67AB8307" w14:textId="77777777" w:rsidR="00171C5D" w:rsidRDefault="00171C5D">
      <w:pPr>
        <w:widowControl w:val="0"/>
        <w:spacing w:after="0" w:line="240" w:lineRule="auto"/>
        <w:rPr>
          <w:rFonts w:cs="Calibri"/>
        </w:rPr>
      </w:pPr>
    </w:p>
    <w:p w14:paraId="39CE8F84" w14:textId="77777777" w:rsidR="00171C5D" w:rsidRDefault="00171C5D">
      <w:pPr>
        <w:widowControl w:val="0"/>
        <w:spacing w:after="0" w:line="240" w:lineRule="auto"/>
        <w:rPr>
          <w:rFonts w:cs="Arial"/>
        </w:rPr>
      </w:pPr>
    </w:p>
    <w:p w14:paraId="44648AFA" w14:textId="77777777" w:rsidR="00171C5D" w:rsidRDefault="00171C5D">
      <w:pPr>
        <w:widowControl w:val="0"/>
        <w:spacing w:after="0" w:line="240" w:lineRule="auto"/>
        <w:rPr>
          <w:rFonts w:cs="Arial"/>
        </w:rPr>
      </w:pPr>
    </w:p>
    <w:p w14:paraId="6034725C" w14:textId="77777777" w:rsidR="00171C5D" w:rsidRDefault="00171C5D">
      <w:pPr>
        <w:widowControl w:val="0"/>
        <w:spacing w:after="0" w:line="240" w:lineRule="auto"/>
        <w:rPr>
          <w:rFonts w:eastAsia="Cambria" w:cs="Calibri"/>
        </w:rPr>
      </w:pPr>
    </w:p>
    <w:p w14:paraId="57140F95" w14:textId="77777777" w:rsidR="00171C5D" w:rsidRDefault="00171C5D">
      <w:pPr>
        <w:widowControl w:val="0"/>
        <w:spacing w:after="0" w:line="240" w:lineRule="auto"/>
        <w:rPr>
          <w:rFonts w:eastAsia="Cambria" w:cs="Calibri"/>
        </w:rPr>
      </w:pPr>
    </w:p>
    <w:p w14:paraId="37A6B101" w14:textId="77777777" w:rsidR="00171C5D" w:rsidRDefault="00000000">
      <w:pPr>
        <w:widowControl w:val="0"/>
        <w:spacing w:after="0" w:line="240" w:lineRule="auto"/>
        <w:rPr>
          <w:rFonts w:cs="Calibri"/>
        </w:rPr>
      </w:pPr>
      <w:r>
        <w:rPr>
          <w:rFonts w:cs="Calibri"/>
        </w:rPr>
        <w:t xml:space="preserve">8. </w:t>
      </w:r>
      <w:r>
        <w:rPr>
          <w:rFonts w:cs="Calibri"/>
          <w:b/>
        </w:rPr>
        <w:t>Limited Beneficiaries or Preferences.</w:t>
      </w:r>
      <w:r>
        <w:rPr>
          <w:rFonts w:cs="Calibri"/>
        </w:rPr>
        <w:t xml:space="preserve">  Describe how the </w:t>
      </w:r>
      <w:r>
        <w:rPr>
          <w:rFonts w:eastAsia="Cambria" w:cs="Calibri"/>
        </w:rPr>
        <w:t>jurisdiction</w:t>
      </w:r>
      <w:r>
        <w:rPr>
          <w:rFonts w:cs="Calibri"/>
        </w:rPr>
        <w:t xml:space="preserve"> will limit the beneficiaries or give preferences to a particular segment of the extremely low- or very low-income population to serve unmet needs identified in its consolidated plan or annual action plan.  If the </w:t>
      </w:r>
      <w:r>
        <w:rPr>
          <w:rFonts w:eastAsia="Cambria" w:cs="Calibri"/>
        </w:rPr>
        <w:t>jurisdiction</w:t>
      </w:r>
      <w:r>
        <w:rPr>
          <w:rFonts w:cs="Calibri"/>
        </w:rPr>
        <w:t xml:space="preserve"> will not limit the beneficiaries or give preferences to a particular segment of the extremely low- or very low-income population, enter “N/A.”</w:t>
      </w:r>
    </w:p>
    <w:p w14:paraId="10E14018" w14:textId="77777777" w:rsidR="00171C5D" w:rsidRDefault="00171C5D">
      <w:pPr>
        <w:widowControl w:val="0"/>
        <w:spacing w:after="0" w:line="240" w:lineRule="auto"/>
        <w:rPr>
          <w:rFonts w:cs="Calibri"/>
        </w:rPr>
      </w:pPr>
    </w:p>
    <w:p w14:paraId="2C648C32" w14:textId="77777777" w:rsidR="00171C5D" w:rsidRDefault="00000000">
      <w:pPr>
        <w:widowControl w:val="0"/>
        <w:spacing w:after="0" w:line="240" w:lineRule="auto"/>
        <w:rPr>
          <w:rFonts w:cs="Calibri"/>
        </w:rPr>
      </w:pPr>
      <w:r>
        <w:rPr>
          <w:rFonts w:cs="Calibri"/>
        </w:rPr>
        <w:t xml:space="preserve">Any limitation or preference must not violate nondiscrimination requirements in § 93.350, and the </w:t>
      </w:r>
      <w:r>
        <w:rPr>
          <w:rFonts w:eastAsia="Cambria" w:cs="Calibri"/>
          <w:spacing w:val="-1"/>
        </w:rPr>
        <w:t>jurisdiction</w:t>
      </w:r>
      <w:r>
        <w:rPr>
          <w:rFonts w:cs="Calibri"/>
        </w:rPr>
        <w:t xml:space="preserve"> must not limit or give preferences to students.  The </w:t>
      </w:r>
      <w:r>
        <w:rPr>
          <w:rFonts w:eastAsia="Cambria" w:cs="Calibri"/>
        </w:rPr>
        <w:t>jurisdiction</w:t>
      </w:r>
      <w:r>
        <w:rPr>
          <w:rFonts w:cs="Calibri"/>
        </w:rPr>
        <w:t xml:space="preserve"> may permit rental housing owners to limit tenants or give a preference in accordance with § 93.303 only if such limitation or preference is described in the action plan.</w:t>
      </w:r>
    </w:p>
    <w:p w14:paraId="28632BD6" w14:textId="77777777" w:rsidR="00171C5D" w:rsidRDefault="00171C5D">
      <w:pPr>
        <w:widowControl w:val="0"/>
        <w:spacing w:after="0" w:line="240" w:lineRule="auto"/>
        <w:rPr>
          <w:rFonts w:cs="Calibri"/>
        </w:rPr>
      </w:pPr>
    </w:p>
    <w:p w14:paraId="7F958A21" w14:textId="77777777" w:rsidR="00171C5D" w:rsidRDefault="00171C5D">
      <w:pPr>
        <w:widowControl w:val="0"/>
        <w:spacing w:after="0" w:line="240" w:lineRule="auto"/>
        <w:rPr>
          <w:rFonts w:cs="Calibri"/>
        </w:rPr>
      </w:pPr>
    </w:p>
    <w:p w14:paraId="26E10894" w14:textId="77777777" w:rsidR="00171C5D" w:rsidRDefault="00171C5D">
      <w:pPr>
        <w:widowControl w:val="0"/>
        <w:spacing w:after="0" w:line="240" w:lineRule="auto"/>
        <w:rPr>
          <w:rFonts w:cs="Calibri"/>
          <w:bCs/>
          <w:spacing w:val="8"/>
        </w:rPr>
      </w:pPr>
    </w:p>
    <w:p w14:paraId="2212E185" w14:textId="77777777" w:rsidR="00171C5D" w:rsidRDefault="00000000">
      <w:pPr>
        <w:widowControl w:val="0"/>
        <w:spacing w:after="0" w:line="240" w:lineRule="auto"/>
        <w:rPr>
          <w:rFonts w:cs="Calibri"/>
        </w:rPr>
      </w:pPr>
      <w:r>
        <w:rPr>
          <w:rFonts w:cs="Calibri"/>
          <w:bCs/>
          <w:spacing w:val="8"/>
        </w:rPr>
        <w:t xml:space="preserve">9. </w:t>
      </w:r>
      <w:r>
        <w:rPr>
          <w:rFonts w:cs="Calibri"/>
          <w:b/>
          <w:bCs/>
          <w:spacing w:val="8"/>
        </w:rPr>
        <w:t>Refinancing</w:t>
      </w:r>
      <w:r>
        <w:rPr>
          <w:rFonts w:cs="Calibri"/>
          <w:b/>
          <w:bCs/>
          <w:spacing w:val="12"/>
        </w:rPr>
        <w:t xml:space="preserve"> </w:t>
      </w:r>
      <w:r>
        <w:rPr>
          <w:rFonts w:cs="Calibri"/>
          <w:b/>
          <w:bCs/>
          <w:spacing w:val="4"/>
        </w:rPr>
        <w:t>of</w:t>
      </w:r>
      <w:r>
        <w:rPr>
          <w:rFonts w:cs="Calibri"/>
          <w:b/>
          <w:bCs/>
          <w:spacing w:val="14"/>
        </w:rPr>
        <w:t xml:space="preserve"> </w:t>
      </w:r>
      <w:r>
        <w:rPr>
          <w:rFonts w:cs="Calibri"/>
          <w:b/>
          <w:bCs/>
          <w:spacing w:val="8"/>
        </w:rPr>
        <w:t>Existing</w:t>
      </w:r>
      <w:r>
        <w:rPr>
          <w:rFonts w:cs="Calibri"/>
          <w:b/>
          <w:bCs/>
          <w:spacing w:val="14"/>
        </w:rPr>
        <w:t xml:space="preserve"> </w:t>
      </w:r>
      <w:r>
        <w:rPr>
          <w:rFonts w:cs="Calibri"/>
          <w:b/>
          <w:bCs/>
          <w:spacing w:val="7"/>
        </w:rPr>
        <w:t>Debt.</w:t>
      </w:r>
      <w:r>
        <w:rPr>
          <w:rFonts w:cs="Calibri"/>
          <w:bCs/>
          <w:spacing w:val="7"/>
        </w:rPr>
        <w:t xml:space="preserve">  </w:t>
      </w:r>
      <w:r>
        <w:rPr>
          <w:rFonts w:cs="Calibri"/>
        </w:rPr>
        <w:t>Enter or attach the jurisdiction’s refinancing guidelines below.  The guidelines describe the conditions under which the jurisdiction will refinance existing rental housing project debt.  The jurisdiction’s refinancing guidelines must, at minimum, demonstrate that rehabilitation is the primary eligible activity and ensure that this requirement is met by establishing a minimum level of rehabilitation per unit or a required ratio between rehabilitation and refinancing.  If the jurisdiction will not refinance existing debt, enter “N/A.”</w:t>
      </w:r>
    </w:p>
    <w:p w14:paraId="4962774B" w14:textId="77777777" w:rsidR="00171C5D" w:rsidRDefault="00171C5D">
      <w:pPr>
        <w:widowControl w:val="0"/>
        <w:spacing w:after="0" w:line="240" w:lineRule="auto"/>
        <w:rPr>
          <w:rFonts w:cs="Calibri"/>
          <w:spacing w:val="-1"/>
        </w:rPr>
      </w:pPr>
    </w:p>
    <w:p w14:paraId="61875920" w14:textId="77777777" w:rsidR="00171C5D" w:rsidRDefault="00171C5D">
      <w:pPr>
        <w:widowControl w:val="0"/>
        <w:spacing w:after="0" w:line="240" w:lineRule="auto"/>
        <w:rPr>
          <w:rFonts w:cs="Calibri"/>
          <w:spacing w:val="-1"/>
        </w:rPr>
      </w:pPr>
    </w:p>
    <w:p w14:paraId="20731B82" w14:textId="77777777" w:rsidR="00171C5D" w:rsidRDefault="00171C5D">
      <w:pPr>
        <w:widowControl w:val="0"/>
        <w:spacing w:before="11" w:after="0" w:line="240" w:lineRule="auto"/>
        <w:rPr>
          <w:rFonts w:cs="Calibri"/>
          <w:spacing w:val="-1"/>
        </w:rPr>
      </w:pPr>
    </w:p>
    <w:p w14:paraId="7AF31FDE" w14:textId="77777777" w:rsidR="00171C5D" w:rsidRDefault="00000000">
      <w:pPr>
        <w:widowControl w:val="0"/>
        <w:spacing w:before="11" w:after="0" w:line="240" w:lineRule="auto"/>
        <w:rPr>
          <w:rFonts w:cs="Calibri"/>
          <w:spacing w:val="-1"/>
        </w:rPr>
      </w:pPr>
      <w:r>
        <w:rPr>
          <w:rFonts w:cs="Calibri"/>
          <w:spacing w:val="-1"/>
        </w:rPr>
        <w:t>&lt;TYPE</w:t>
      </w:r>
      <w:proofErr w:type="gramStart"/>
      <w:r>
        <w:rPr>
          <w:rFonts w:cs="Calibri"/>
          <w:spacing w:val="-1"/>
        </w:rPr>
        <w:t>=[section  9</w:t>
      </w:r>
      <w:proofErr w:type="gramEnd"/>
      <w:r>
        <w:rPr>
          <w:rFonts w:cs="Calibri"/>
          <w:spacing w:val="-1"/>
        </w:rPr>
        <w:t xml:space="preserve"> end]&gt;</w:t>
      </w:r>
    </w:p>
    <w:p w14:paraId="5C1A7917" w14:textId="77777777" w:rsidR="00171C5D" w:rsidRDefault="00171C5D">
      <w:pPr>
        <w:widowControl w:val="0"/>
        <w:spacing w:before="11" w:after="0" w:line="240" w:lineRule="auto"/>
        <w:rPr>
          <w:rFonts w:eastAsia="Cambria" w:cs="Calibri"/>
        </w:rPr>
      </w:pPr>
    </w:p>
    <w:p w14:paraId="7EA4417E" w14:textId="77777777" w:rsidR="00171C5D" w:rsidRDefault="00171C5D">
      <w:pPr>
        <w:rPr>
          <w:b/>
        </w:rPr>
      </w:pPr>
    </w:p>
    <w:p w14:paraId="7E716C51" w14:textId="77777777" w:rsidR="00171C5D" w:rsidRDefault="00000000">
      <w:pPr>
        <w:rPr>
          <w:b/>
          <w:sz w:val="24"/>
          <w:szCs w:val="24"/>
        </w:rPr>
      </w:pPr>
      <w:r>
        <w:rPr>
          <w:b/>
          <w:sz w:val="24"/>
          <w:szCs w:val="24"/>
        </w:rPr>
        <w:t xml:space="preserve">Discussion: </w:t>
      </w:r>
    </w:p>
    <w:p w14:paraId="60554ED8" w14:textId="77777777" w:rsidR="00171C5D" w:rsidRDefault="00000000">
      <w:pPr>
        <w:spacing w:beforeAutospacing="1" w:afterAutospacing="1"/>
        <w:rPr>
          <w:rFonts w:cs="Arial"/>
        </w:rPr>
      </w:pPr>
      <w:r>
        <w:rPr>
          <w:rFonts w:cs="Arial"/>
          <w:b/>
        </w:rPr>
        <w:t>HOUSING OPPORTUNITIES FOR PERSONS WITH AIDS Reference 91.220(I) (3)</w:t>
      </w:r>
    </w:p>
    <w:p w14:paraId="43BE9234" w14:textId="77777777" w:rsidR="00171C5D" w:rsidRDefault="00000000">
      <w:pPr>
        <w:spacing w:beforeAutospacing="1" w:afterAutospacing="1"/>
        <w:rPr>
          <w:rFonts w:cs="Arial"/>
        </w:rPr>
      </w:pPr>
      <w:r>
        <w:rPr>
          <w:rFonts w:cs="Arial"/>
        </w:rPr>
        <w:t>The method for selecting sponsors under the HOPWA program is as follows:</w:t>
      </w:r>
    </w:p>
    <w:p w14:paraId="00FBB7A6" w14:textId="77777777" w:rsidR="00171C5D" w:rsidRDefault="00000000">
      <w:pPr>
        <w:spacing w:beforeAutospacing="1" w:afterAutospacing="1"/>
        <w:rPr>
          <w:rFonts w:cs="Arial"/>
        </w:rPr>
      </w:pPr>
      <w:r>
        <w:rPr>
          <w:rFonts w:cs="Arial"/>
        </w:rPr>
        <w:t xml:space="preserve">The Consolidated Funding Application (CFA) is a Request for Proposal (RFP) based application, which is open to all nonprofit organizations, faith-based organizations, government agencies, and other entities that have tax-exempt status and meet the eligibility criteria. MOHS establishes funding priorities, provides </w:t>
      </w:r>
      <w:proofErr w:type="gramStart"/>
      <w:r>
        <w:rPr>
          <w:rFonts w:cs="Arial"/>
        </w:rPr>
        <w:t>detail</w:t>
      </w:r>
      <w:proofErr w:type="gramEnd"/>
      <w:r>
        <w:rPr>
          <w:rFonts w:cs="Arial"/>
        </w:rPr>
        <w:t xml:space="preserve"> on the funding sources, lists the eligible activities and costs, details client eligibility requirements, sets the application timeline, establishes the application guidelines and components, details the evaluation criteria, and the funding allocation process. The CFA consists of five different grant opportunities that include HOPWA. The RFP is open for a minimum of 30 days and is publicized through the MOHS website under grant opportunities. In addition, the announcement is widely broadcasted through the Continuum of Care (CoC) newsletter and social media platforms for MOHS and the CoC.</w:t>
      </w:r>
    </w:p>
    <w:p w14:paraId="53C11E37" w14:textId="77777777" w:rsidR="00171C5D" w:rsidRDefault="00000000">
      <w:pPr>
        <w:spacing w:beforeAutospacing="1" w:afterAutospacing="1"/>
        <w:rPr>
          <w:rFonts w:cs="Arial"/>
        </w:rPr>
      </w:pPr>
      <w:r>
        <w:rPr>
          <w:rFonts w:cs="Arial"/>
        </w:rPr>
        <w:t>Each project application undergoes a two-step threshold review to assess eligibility and completeness prior to being evaluated on the project’s design and performance goals. Applications that pass the threshold review are evaluated and scored competitively by a review panel. The reviewers consist of MOHS staff, CoC members from the Resource Allocation Committee, Lived Experience Advisory Committee, and the Youth Action Board. The amount and type of funds allocated to each program is taken into consideration when scoring each proposal and must align with funding priorities identified by MOHS and the CoC. Renewal projects are also evaluated on the project’s prior-year performance and compliance with funding regulations (as applicable).</w:t>
      </w:r>
    </w:p>
    <w:p w14:paraId="32B105B0" w14:textId="77777777" w:rsidR="00171C5D" w:rsidRDefault="00171C5D"/>
    <w:sectPr w:rsidR="00171C5D">
      <w:headerReference w:type="even" r:id="rId12"/>
      <w:headerReference w:type="default" r:id="rId13"/>
      <w:footerReference w:type="even"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BEBF" w14:textId="77777777" w:rsidR="0062487B" w:rsidRDefault="0062487B">
      <w:r>
        <w:separator/>
      </w:r>
    </w:p>
  </w:endnote>
  <w:endnote w:type="continuationSeparator" w:id="0">
    <w:p w14:paraId="0E7C0980" w14:textId="77777777" w:rsidR="0062487B" w:rsidRDefault="0062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171C5D" w14:paraId="2DBB5606" w14:textId="77777777">
      <w:trPr>
        <w:jc w:val="center"/>
      </w:trPr>
      <w:tc>
        <w:tcPr>
          <w:tcW w:w="828" w:type="dxa"/>
        </w:tcPr>
        <w:p w14:paraId="7D467259" w14:textId="77777777" w:rsidR="00171C5D" w:rsidRDefault="00171C5D">
          <w:pPr>
            <w:pStyle w:val="Footer"/>
            <w:spacing w:after="0" w:line="240" w:lineRule="auto"/>
            <w:jc w:val="center"/>
          </w:pPr>
        </w:p>
      </w:tc>
      <w:tc>
        <w:tcPr>
          <w:tcW w:w="7976" w:type="dxa"/>
        </w:tcPr>
        <w:p w14:paraId="129DC4F5" w14:textId="77777777" w:rsidR="00171C5D" w:rsidRDefault="00000000">
          <w:pPr>
            <w:pStyle w:val="Footer"/>
            <w:spacing w:after="0" w:line="240" w:lineRule="auto"/>
            <w:jc w:val="center"/>
          </w:pPr>
          <w:r>
            <w:t>Annual Action Plan</w:t>
          </w:r>
        </w:p>
        <w:p w14:paraId="4999B1F6" w14:textId="77777777" w:rsidR="00171C5D" w:rsidRDefault="00000000">
          <w:pPr>
            <w:pStyle w:val="Footer"/>
            <w:spacing w:after="0" w:line="240" w:lineRule="auto"/>
            <w:jc w:val="center"/>
            <w:rPr>
              <w:rFonts w:cs="Arial"/>
            </w:rPr>
          </w:pPr>
          <w:r>
            <w:t>2025</w:t>
          </w:r>
        </w:p>
      </w:tc>
      <w:tc>
        <w:tcPr>
          <w:tcW w:w="772" w:type="dxa"/>
        </w:tcPr>
        <w:p w14:paraId="284D04BC" w14:textId="77777777" w:rsidR="00171C5D" w:rsidRDefault="00000000">
          <w:pPr>
            <w:pStyle w:val="Footer"/>
            <w:spacing w:after="0" w:line="240" w:lineRule="auto"/>
            <w:jc w:val="right"/>
          </w:pPr>
          <w:r>
            <w:fldChar w:fldCharType="begin"/>
          </w:r>
          <w:r>
            <w:instrText>page</w:instrText>
          </w:r>
          <w:r>
            <w:fldChar w:fldCharType="separate"/>
          </w:r>
          <w:r>
            <w:t>1</w:t>
          </w:r>
          <w:r>
            <w:fldChar w:fldCharType="end"/>
          </w:r>
        </w:p>
      </w:tc>
    </w:tr>
  </w:tbl>
  <w:p w14:paraId="06DFE0BA" w14:textId="77777777" w:rsidR="00171C5D" w:rsidRDefault="0000000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6A6A" w14:textId="77777777" w:rsidR="00171C5D" w:rsidRDefault="00171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1FDB" w14:textId="77777777" w:rsidR="00171C5D" w:rsidRDefault="00171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77B0" w14:textId="77777777" w:rsidR="0062487B" w:rsidRDefault="0062487B">
      <w:r>
        <w:separator/>
      </w:r>
    </w:p>
  </w:footnote>
  <w:footnote w:type="continuationSeparator" w:id="0">
    <w:p w14:paraId="54CADBAE" w14:textId="77777777" w:rsidR="0062487B" w:rsidRDefault="0062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F48D" w14:textId="77777777" w:rsidR="00171C5D" w:rsidRDefault="00171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C280" w14:textId="77777777" w:rsidR="00171C5D" w:rsidRDefault="00171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2C82" w14:textId="77777777" w:rsidR="00171C5D" w:rsidRDefault="00171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596597242">
    <w:abstractNumId w:val="11"/>
  </w:num>
  <w:num w:numId="2" w16cid:durableId="2079549766">
    <w:abstractNumId w:val="9"/>
  </w:num>
  <w:num w:numId="3" w16cid:durableId="264770622">
    <w:abstractNumId w:val="7"/>
  </w:num>
  <w:num w:numId="4" w16cid:durableId="397289972">
    <w:abstractNumId w:val="6"/>
  </w:num>
  <w:num w:numId="5" w16cid:durableId="2122068795">
    <w:abstractNumId w:val="5"/>
  </w:num>
  <w:num w:numId="6" w16cid:durableId="59209284">
    <w:abstractNumId w:val="4"/>
  </w:num>
  <w:num w:numId="7" w16cid:durableId="1141534538">
    <w:abstractNumId w:val="8"/>
  </w:num>
  <w:num w:numId="8" w16cid:durableId="1651640495">
    <w:abstractNumId w:val="3"/>
  </w:num>
  <w:num w:numId="9" w16cid:durableId="476731361">
    <w:abstractNumId w:val="2"/>
  </w:num>
  <w:num w:numId="10" w16cid:durableId="821118155">
    <w:abstractNumId w:val="1"/>
  </w:num>
  <w:num w:numId="11" w16cid:durableId="1167016053">
    <w:abstractNumId w:val="0"/>
  </w:num>
  <w:num w:numId="12" w16cid:durableId="2097633916">
    <w:abstractNumId w:val="10"/>
  </w:num>
  <w:num w:numId="13" w16cid:durableId="1407145232">
    <w:abstractNumId w:val="17"/>
  </w:num>
  <w:num w:numId="14" w16cid:durableId="930238155">
    <w:abstractNumId w:val="15"/>
  </w:num>
  <w:num w:numId="15" w16cid:durableId="1435204595">
    <w:abstractNumId w:val="14"/>
  </w:num>
  <w:num w:numId="16" w16cid:durableId="516163732">
    <w:abstractNumId w:val="16"/>
  </w:num>
  <w:num w:numId="17" w16cid:durableId="1494755483">
    <w:abstractNumId w:val="12"/>
  </w:num>
  <w:num w:numId="18" w16cid:durableId="2061395782">
    <w:abstractNumId w:val="13"/>
  </w:num>
  <w:num w:numId="19" w16cid:durableId="194461179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08C"/>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4405"/>
    <w:rsid w:val="0003459B"/>
    <w:rsid w:val="00035628"/>
    <w:rsid w:val="000357CA"/>
    <w:rsid w:val="00035F04"/>
    <w:rsid w:val="00042C4D"/>
    <w:rsid w:val="00043B67"/>
    <w:rsid w:val="00044565"/>
    <w:rsid w:val="00047E3E"/>
    <w:rsid w:val="000518AA"/>
    <w:rsid w:val="00053E62"/>
    <w:rsid w:val="00054780"/>
    <w:rsid w:val="00056828"/>
    <w:rsid w:val="00057E2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07A3"/>
    <w:rsid w:val="000F1DD7"/>
    <w:rsid w:val="000F21DE"/>
    <w:rsid w:val="000F6B53"/>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1C5D"/>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D0384"/>
    <w:rsid w:val="001D20E3"/>
    <w:rsid w:val="001D2586"/>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C7D"/>
    <w:rsid w:val="001F68DE"/>
    <w:rsid w:val="001F6B14"/>
    <w:rsid w:val="00204E13"/>
    <w:rsid w:val="00205644"/>
    <w:rsid w:val="00205CCE"/>
    <w:rsid w:val="00207A05"/>
    <w:rsid w:val="00212E96"/>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CA8"/>
    <w:rsid w:val="002643F3"/>
    <w:rsid w:val="0026448F"/>
    <w:rsid w:val="002660BC"/>
    <w:rsid w:val="00267042"/>
    <w:rsid w:val="00267FE2"/>
    <w:rsid w:val="0027020F"/>
    <w:rsid w:val="002707F7"/>
    <w:rsid w:val="00270B46"/>
    <w:rsid w:val="002721FA"/>
    <w:rsid w:val="00272E1D"/>
    <w:rsid w:val="00275F5E"/>
    <w:rsid w:val="002764CB"/>
    <w:rsid w:val="0027673E"/>
    <w:rsid w:val="00277A52"/>
    <w:rsid w:val="00281E9A"/>
    <w:rsid w:val="00283CA8"/>
    <w:rsid w:val="00284AD9"/>
    <w:rsid w:val="00284E5C"/>
    <w:rsid w:val="00285752"/>
    <w:rsid w:val="002905D8"/>
    <w:rsid w:val="00292ECE"/>
    <w:rsid w:val="00294B1B"/>
    <w:rsid w:val="00294CA9"/>
    <w:rsid w:val="00295998"/>
    <w:rsid w:val="00295C59"/>
    <w:rsid w:val="002969C3"/>
    <w:rsid w:val="00296FD9"/>
    <w:rsid w:val="002A2068"/>
    <w:rsid w:val="002A206F"/>
    <w:rsid w:val="002A2980"/>
    <w:rsid w:val="002A4896"/>
    <w:rsid w:val="002A49B8"/>
    <w:rsid w:val="002A4E8C"/>
    <w:rsid w:val="002A5179"/>
    <w:rsid w:val="002A57D8"/>
    <w:rsid w:val="002A5D07"/>
    <w:rsid w:val="002B5274"/>
    <w:rsid w:val="002C12CE"/>
    <w:rsid w:val="002C155C"/>
    <w:rsid w:val="002C249D"/>
    <w:rsid w:val="002C2FAB"/>
    <w:rsid w:val="002C3395"/>
    <w:rsid w:val="002C4269"/>
    <w:rsid w:val="002C451D"/>
    <w:rsid w:val="002C547E"/>
    <w:rsid w:val="002C5F73"/>
    <w:rsid w:val="002C70CE"/>
    <w:rsid w:val="002D34A9"/>
    <w:rsid w:val="002D478C"/>
    <w:rsid w:val="002E373E"/>
    <w:rsid w:val="002E7287"/>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9FF"/>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472C1"/>
    <w:rsid w:val="00350083"/>
    <w:rsid w:val="003504FE"/>
    <w:rsid w:val="00351DF3"/>
    <w:rsid w:val="003521B8"/>
    <w:rsid w:val="00352316"/>
    <w:rsid w:val="00352977"/>
    <w:rsid w:val="003543C9"/>
    <w:rsid w:val="00354514"/>
    <w:rsid w:val="003550DA"/>
    <w:rsid w:val="003553D6"/>
    <w:rsid w:val="003558E7"/>
    <w:rsid w:val="00357C5C"/>
    <w:rsid w:val="00361CC3"/>
    <w:rsid w:val="003636A4"/>
    <w:rsid w:val="003649F4"/>
    <w:rsid w:val="00364B41"/>
    <w:rsid w:val="00365CE8"/>
    <w:rsid w:val="003668AF"/>
    <w:rsid w:val="00370741"/>
    <w:rsid w:val="0037146A"/>
    <w:rsid w:val="0037176A"/>
    <w:rsid w:val="00375479"/>
    <w:rsid w:val="0037664B"/>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5846"/>
    <w:rsid w:val="003B66A4"/>
    <w:rsid w:val="003B7C61"/>
    <w:rsid w:val="003C0F81"/>
    <w:rsid w:val="003C0FDC"/>
    <w:rsid w:val="003C1534"/>
    <w:rsid w:val="003C1628"/>
    <w:rsid w:val="003C2B1B"/>
    <w:rsid w:val="003C2DA5"/>
    <w:rsid w:val="003C43EF"/>
    <w:rsid w:val="003C464D"/>
    <w:rsid w:val="003C4B53"/>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6FFE"/>
    <w:rsid w:val="004871B3"/>
    <w:rsid w:val="00487807"/>
    <w:rsid w:val="00487944"/>
    <w:rsid w:val="00490153"/>
    <w:rsid w:val="004908D4"/>
    <w:rsid w:val="00490BF3"/>
    <w:rsid w:val="00492522"/>
    <w:rsid w:val="00492CAF"/>
    <w:rsid w:val="00494561"/>
    <w:rsid w:val="00495F6A"/>
    <w:rsid w:val="00496E0E"/>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E06E9"/>
    <w:rsid w:val="004E197E"/>
    <w:rsid w:val="004E2C11"/>
    <w:rsid w:val="004E2E25"/>
    <w:rsid w:val="004F07E5"/>
    <w:rsid w:val="004F0B11"/>
    <w:rsid w:val="004F0D4F"/>
    <w:rsid w:val="004F0F57"/>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434A"/>
    <w:rsid w:val="00565784"/>
    <w:rsid w:val="005660B4"/>
    <w:rsid w:val="0056695E"/>
    <w:rsid w:val="00570790"/>
    <w:rsid w:val="005720BF"/>
    <w:rsid w:val="00572D8A"/>
    <w:rsid w:val="00572E71"/>
    <w:rsid w:val="005736E3"/>
    <w:rsid w:val="005737EC"/>
    <w:rsid w:val="00573AC7"/>
    <w:rsid w:val="0057562C"/>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487B"/>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51AB"/>
    <w:rsid w:val="006867F9"/>
    <w:rsid w:val="00686948"/>
    <w:rsid w:val="00687CC1"/>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C68"/>
    <w:rsid w:val="006B53E2"/>
    <w:rsid w:val="006B5478"/>
    <w:rsid w:val="006C0080"/>
    <w:rsid w:val="006C1C1B"/>
    <w:rsid w:val="006C1DD6"/>
    <w:rsid w:val="006C3518"/>
    <w:rsid w:val="006C3FD7"/>
    <w:rsid w:val="006C44E9"/>
    <w:rsid w:val="006C4C77"/>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2873"/>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1E8"/>
    <w:rsid w:val="0077341A"/>
    <w:rsid w:val="007737B6"/>
    <w:rsid w:val="00774F22"/>
    <w:rsid w:val="00775A4F"/>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96005"/>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A32"/>
    <w:rsid w:val="007E3F10"/>
    <w:rsid w:val="007E7D06"/>
    <w:rsid w:val="007F0D98"/>
    <w:rsid w:val="007F1CE6"/>
    <w:rsid w:val="007F2E0A"/>
    <w:rsid w:val="007F3814"/>
    <w:rsid w:val="007F4762"/>
    <w:rsid w:val="007F47CA"/>
    <w:rsid w:val="007F55EA"/>
    <w:rsid w:val="007F7CEF"/>
    <w:rsid w:val="008025A0"/>
    <w:rsid w:val="00802DDE"/>
    <w:rsid w:val="008032DD"/>
    <w:rsid w:val="0080435B"/>
    <w:rsid w:val="00804FD8"/>
    <w:rsid w:val="008052B0"/>
    <w:rsid w:val="00805D85"/>
    <w:rsid w:val="00806546"/>
    <w:rsid w:val="00810DB9"/>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10F15"/>
    <w:rsid w:val="00915EEF"/>
    <w:rsid w:val="009170F7"/>
    <w:rsid w:val="00920686"/>
    <w:rsid w:val="00921681"/>
    <w:rsid w:val="00921962"/>
    <w:rsid w:val="00922425"/>
    <w:rsid w:val="00923FC9"/>
    <w:rsid w:val="00926242"/>
    <w:rsid w:val="009273EC"/>
    <w:rsid w:val="009320FA"/>
    <w:rsid w:val="009342CC"/>
    <w:rsid w:val="009367E2"/>
    <w:rsid w:val="00937F69"/>
    <w:rsid w:val="0094223C"/>
    <w:rsid w:val="00942F2E"/>
    <w:rsid w:val="00945544"/>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5A"/>
    <w:rsid w:val="009A68A0"/>
    <w:rsid w:val="009B202B"/>
    <w:rsid w:val="009B3B58"/>
    <w:rsid w:val="009B3C01"/>
    <w:rsid w:val="009B42BB"/>
    <w:rsid w:val="009B5C04"/>
    <w:rsid w:val="009B5E8F"/>
    <w:rsid w:val="009B6C74"/>
    <w:rsid w:val="009B73F1"/>
    <w:rsid w:val="009B7B50"/>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DF9"/>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A91"/>
    <w:rsid w:val="00A3295F"/>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7092"/>
    <w:rsid w:val="00AA78DC"/>
    <w:rsid w:val="00AB0008"/>
    <w:rsid w:val="00AB041C"/>
    <w:rsid w:val="00AB1270"/>
    <w:rsid w:val="00AB262D"/>
    <w:rsid w:val="00AB50A3"/>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67B00"/>
    <w:rsid w:val="00B70479"/>
    <w:rsid w:val="00B70A4C"/>
    <w:rsid w:val="00B72880"/>
    <w:rsid w:val="00B73637"/>
    <w:rsid w:val="00B73A57"/>
    <w:rsid w:val="00B74E39"/>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6419"/>
    <w:rsid w:val="00BF7A8C"/>
    <w:rsid w:val="00C01567"/>
    <w:rsid w:val="00C029B2"/>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2AC6"/>
    <w:rsid w:val="00C42CC5"/>
    <w:rsid w:val="00C42E79"/>
    <w:rsid w:val="00C453CA"/>
    <w:rsid w:val="00C51AC5"/>
    <w:rsid w:val="00C52410"/>
    <w:rsid w:val="00C55BB0"/>
    <w:rsid w:val="00C55D58"/>
    <w:rsid w:val="00C56A08"/>
    <w:rsid w:val="00C61D7F"/>
    <w:rsid w:val="00C645A5"/>
    <w:rsid w:val="00C66779"/>
    <w:rsid w:val="00C7280C"/>
    <w:rsid w:val="00C7734E"/>
    <w:rsid w:val="00C80357"/>
    <w:rsid w:val="00C82706"/>
    <w:rsid w:val="00C82A59"/>
    <w:rsid w:val="00C837C8"/>
    <w:rsid w:val="00C87016"/>
    <w:rsid w:val="00C87017"/>
    <w:rsid w:val="00C8752A"/>
    <w:rsid w:val="00C87C09"/>
    <w:rsid w:val="00C910F4"/>
    <w:rsid w:val="00C92F15"/>
    <w:rsid w:val="00C93119"/>
    <w:rsid w:val="00C944FE"/>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38BF"/>
    <w:rsid w:val="00CF57D1"/>
    <w:rsid w:val="00CF6310"/>
    <w:rsid w:val="00CF6C2D"/>
    <w:rsid w:val="00D0135E"/>
    <w:rsid w:val="00D02360"/>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31D"/>
    <w:rsid w:val="00E74427"/>
    <w:rsid w:val="00E75EDD"/>
    <w:rsid w:val="00E76C43"/>
    <w:rsid w:val="00E76C6E"/>
    <w:rsid w:val="00E77C4C"/>
    <w:rsid w:val="00E77FDD"/>
    <w:rsid w:val="00E828D0"/>
    <w:rsid w:val="00E82FBD"/>
    <w:rsid w:val="00E8388E"/>
    <w:rsid w:val="00E87735"/>
    <w:rsid w:val="00E87FB4"/>
    <w:rsid w:val="00E91F38"/>
    <w:rsid w:val="00E9218C"/>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7B76"/>
    <w:rsid w:val="00EB053E"/>
    <w:rsid w:val="00EB2906"/>
    <w:rsid w:val="00EB416C"/>
    <w:rsid w:val="00EB5750"/>
    <w:rsid w:val="00EB5BB6"/>
    <w:rsid w:val="00EB62FE"/>
    <w:rsid w:val="00EB6AAA"/>
    <w:rsid w:val="00EC0E29"/>
    <w:rsid w:val="00EC2250"/>
    <w:rsid w:val="00EC3831"/>
    <w:rsid w:val="00EC3E8A"/>
    <w:rsid w:val="00EC4018"/>
    <w:rsid w:val="00ED0068"/>
    <w:rsid w:val="00ED1207"/>
    <w:rsid w:val="00ED430E"/>
    <w:rsid w:val="00ED5AEA"/>
    <w:rsid w:val="00EE0AA7"/>
    <w:rsid w:val="00EE2B21"/>
    <w:rsid w:val="00EE36DF"/>
    <w:rsid w:val="00EE3B18"/>
    <w:rsid w:val="00EE3D0A"/>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63CF"/>
    <w:rsid w:val="00F9756F"/>
    <w:rsid w:val="00FA225D"/>
    <w:rsid w:val="00FA39D5"/>
    <w:rsid w:val="00FA42AD"/>
    <w:rsid w:val="00FA42BE"/>
    <w:rsid w:val="00FA6989"/>
    <w:rsid w:val="00FB2D74"/>
    <w:rsid w:val="00FB307C"/>
    <w:rsid w:val="00FB45D0"/>
    <w:rsid w:val="00FB5507"/>
    <w:rsid w:val="00FB6031"/>
    <w:rsid w:val="00FB64FA"/>
    <w:rsid w:val="00FB7016"/>
    <w:rsid w:val="00FC002B"/>
    <w:rsid w:val="00FC077E"/>
    <w:rsid w:val="00FC1508"/>
    <w:rsid w:val="00FC15EB"/>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7B4CA"/>
  <w15:docId w15:val="{BCB6D3CA-2BAC-4A27-B574-A32D4446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0A745DB49A9409E593EA089E59455" ma:contentTypeVersion="18" ma:contentTypeDescription="Create a new document." ma:contentTypeScope="" ma:versionID="a68611e2008414b7c364f607927d6f43">
  <xsd:schema xmlns:xsd="http://www.w3.org/2001/XMLSchema" xmlns:xs="http://www.w3.org/2001/XMLSchema" xmlns:p="http://schemas.microsoft.com/office/2006/metadata/properties" xmlns:ns2="8a94d91d-5ca2-4cc8-ad13-3e6fe563f117" xmlns:ns3="4ae32148-96ef-4472-81c4-ed02e498db5b" targetNamespace="http://schemas.microsoft.com/office/2006/metadata/properties" ma:root="true" ma:fieldsID="02d469a7e894842d0a4b5b4593a9023b" ns2:_="" ns3:_="">
    <xsd:import namespace="8a94d91d-5ca2-4cc8-ad13-3e6fe563f117"/>
    <xsd:import namespace="4ae32148-96ef-4472-81c4-ed02e498db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4d91d-5ca2-4cc8-ad13-3e6fe563f1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fb6d89-a7ca-46e3-8c5e-034564ac1562}" ma:internalName="TaxCatchAll" ma:showField="CatchAllData" ma:web="8a94d91d-5ca2-4cc8-ad13-3e6fe563f1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32148-96ef-4472-81c4-ed02e498db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e32148-96ef-4472-81c4-ed02e498db5b">
      <Terms xmlns="http://schemas.microsoft.com/office/infopath/2007/PartnerControls"/>
    </lcf76f155ced4ddcb4097134ff3c332f>
    <TaxCatchAll xmlns="8a94d91d-5ca2-4cc8-ad13-3e6fe563f117" xsi:nil="true"/>
  </documentManagement>
</p:properties>
</file>

<file path=customXml/itemProps1.xml><?xml version="1.0" encoding="utf-8"?>
<ds:datastoreItem xmlns:ds="http://schemas.openxmlformats.org/officeDocument/2006/customXml" ds:itemID="{DDA396A9-A403-4017-A583-D81ACAD966A9}">
  <ds:schemaRefs>
    <ds:schemaRef ds:uri="http://schemas.microsoft.com/sharepoint/v3/contenttype/forms"/>
  </ds:schemaRefs>
</ds:datastoreItem>
</file>

<file path=customXml/itemProps2.xml><?xml version="1.0" encoding="utf-8"?>
<ds:datastoreItem xmlns:ds="http://schemas.openxmlformats.org/officeDocument/2006/customXml" ds:itemID="{C9EAE57F-8FF4-4D29-9658-60599A46C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4d91d-5ca2-4cc8-ad13-3e6fe563f117"/>
    <ds:schemaRef ds:uri="4ae32148-96ef-4472-81c4-ed02e498d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D7765-9408-44CA-A584-D29AC5E2BF6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26334CA0-D61F-4397-8EFC-E27A699EA5B6}">
  <ds:schemaRefs>
    <ds:schemaRef ds:uri="http://schemas.microsoft.com/office/2006/metadata/properties"/>
    <ds:schemaRef ds:uri="http://schemas.microsoft.com/office/infopath/2007/PartnerControls"/>
    <ds:schemaRef ds:uri="4ae32148-96ef-4472-81c4-ed02e498db5b"/>
    <ds:schemaRef ds:uri="8a94d91d-5ca2-4cc8-ad13-3e6fe563f1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12527</Words>
  <Characters>71408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83768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Hawley, Tammy D. (DHCD)</cp:lastModifiedBy>
  <cp:revision>2</cp:revision>
  <dcterms:created xsi:type="dcterms:W3CDTF">2025-09-03T18:30:00Z</dcterms:created>
  <dcterms:modified xsi:type="dcterms:W3CDTF">2025-09-03T18:30:00Z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0x010100C280A745DB49A9409E593EA089E59455</vt:lpwstr>
  </property>
</Properties>
</file>